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65" w:rsidRDefault="00241B65" w:rsidP="00241B65">
      <w:pPr>
        <w:rPr>
          <w:rFonts w:ascii="Arial" w:hAnsi="Arial" w:cs="Arial"/>
        </w:rPr>
      </w:pPr>
    </w:p>
    <w:p w:rsidR="00241B65" w:rsidRPr="001D4131" w:rsidRDefault="00241B65" w:rsidP="00241B65">
      <w:pPr>
        <w:rPr>
          <w:rFonts w:ascii="Arial" w:hAnsi="Arial" w:cs="Arial"/>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QUESTION </w:t>
      </w:r>
      <w:r>
        <w:rPr>
          <w:rFonts w:ascii="Arial" w:hAnsi="Arial" w:cs="Arial"/>
          <w:b/>
          <w:u w:val="single"/>
        </w:rPr>
        <w:t>4.</w:t>
      </w:r>
      <w:r w:rsidRPr="00F759E8">
        <w:rPr>
          <w:rFonts w:ascii="Arial" w:hAnsi="Arial" w:cs="Arial"/>
          <w:b/>
          <w:u w:val="single"/>
        </w:rPr>
        <w:t>1:</w:t>
      </w:r>
    </w:p>
    <w:p w:rsidR="00241B65" w:rsidRPr="0031141C" w:rsidRDefault="00241B65" w:rsidP="00241B65">
      <w:pPr>
        <w:rPr>
          <w:rFonts w:ascii="Arial" w:hAnsi="Arial" w:cs="Arial"/>
        </w:rPr>
      </w:pPr>
    </w:p>
    <w:p w:rsidR="00241B65" w:rsidRPr="00CD51A8" w:rsidRDefault="00241B65" w:rsidP="00241B65">
      <w:pPr>
        <w:rPr>
          <w:rFonts w:ascii="Arial" w:hAnsi="Arial" w:cs="Arial"/>
        </w:rPr>
      </w:pPr>
      <w:r w:rsidRPr="00CD51A8">
        <w:rPr>
          <w:rFonts w:ascii="Arial" w:hAnsi="Arial" w:cs="Arial"/>
        </w:rPr>
        <w:t>The following questions are addressed to the Direct Testimony of Jeff Huang:</w:t>
      </w:r>
    </w:p>
    <w:p w:rsidR="00241B65" w:rsidRDefault="00241B65" w:rsidP="00241B65">
      <w:pPr>
        <w:rPr>
          <w:rFonts w:ascii="Arial" w:hAnsi="Arial" w:cs="Arial"/>
        </w:rPr>
      </w:pPr>
    </w:p>
    <w:p w:rsidR="00241B65" w:rsidRPr="00CD51A8" w:rsidRDefault="00241B65" w:rsidP="00241B65">
      <w:pPr>
        <w:rPr>
          <w:rFonts w:ascii="Arial" w:hAnsi="Arial" w:cs="Arial"/>
        </w:rPr>
      </w:pPr>
      <w:proofErr w:type="gramStart"/>
      <w:r w:rsidRPr="00CD51A8">
        <w:rPr>
          <w:rFonts w:ascii="Arial" w:hAnsi="Arial" w:cs="Arial"/>
        </w:rPr>
        <w:t xml:space="preserve">Regarding the statement at page 3:  “In this forecast, energy storage resources </w:t>
      </w:r>
      <w:r>
        <w:rPr>
          <w:rFonts w:ascii="Arial" w:hAnsi="Arial" w:cs="Arial"/>
        </w:rPr>
        <w:t xml:space="preserve">consistent </w:t>
      </w:r>
      <w:r w:rsidRPr="00CD51A8">
        <w:rPr>
          <w:rFonts w:ascii="Arial" w:hAnsi="Arial" w:cs="Arial"/>
        </w:rPr>
        <w:t>with the Commission’s Storage Decision (D.)</w:t>
      </w:r>
      <w:proofErr w:type="gramEnd"/>
      <w:r w:rsidRPr="00CD51A8">
        <w:rPr>
          <w:rFonts w:ascii="Arial" w:hAnsi="Arial" w:cs="Arial"/>
        </w:rPr>
        <w:t xml:space="preserve"> 13-10-040 </w:t>
      </w:r>
      <w:proofErr w:type="gramStart"/>
      <w:r w:rsidRPr="00CD51A8">
        <w:rPr>
          <w:rFonts w:ascii="Arial" w:hAnsi="Arial" w:cs="Arial"/>
        </w:rPr>
        <w:t>were</w:t>
      </w:r>
      <w:proofErr w:type="gramEnd"/>
      <w:r w:rsidRPr="00CD51A8">
        <w:rPr>
          <w:rFonts w:ascii="Arial" w:hAnsi="Arial" w:cs="Arial"/>
        </w:rPr>
        <w:t xml:space="preserve"> added in the SDG&amp;E and SCE service area. Installed storage capacity data is based on the mid scenario from the Commission’s 2014 Long Term Procurement Plan Standard Planning Assumptions. This forecast includes a statewide installed capacity of 190 MW by 2017 and is increased to 390 MW by 2019.”</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4.1.1.</w:t>
      </w:r>
      <w:r w:rsidRPr="00CD51A8">
        <w:rPr>
          <w:rFonts w:ascii="Arial" w:hAnsi="Arial" w:cs="Arial"/>
        </w:rPr>
        <w:tab/>
        <w:t>How much energy storage capacity is assumed to be added to SCE’s service area during each year of the TCAP period?</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4.1.2.</w:t>
      </w:r>
      <w:r w:rsidRPr="00CD51A8">
        <w:rPr>
          <w:rFonts w:ascii="Arial" w:hAnsi="Arial" w:cs="Arial"/>
        </w:rPr>
        <w:tab/>
        <w:t>How much energy storage capacity is assumed to be added to SDG&amp;E’s service area during each year of the TCAP period?</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4.1.3.</w:t>
      </w:r>
      <w:r w:rsidRPr="00CD51A8">
        <w:rPr>
          <w:rFonts w:ascii="Arial" w:hAnsi="Arial" w:cs="Arial"/>
        </w:rPr>
        <w:tab/>
        <w:t>Is any energy storage capacity assumed to be added to SCE’s service area prior to the TCAP period?  If so, please state how much.</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4.1.4.</w:t>
      </w:r>
      <w:r w:rsidRPr="00CD51A8">
        <w:rPr>
          <w:rFonts w:ascii="Arial" w:hAnsi="Arial" w:cs="Arial"/>
        </w:rPr>
        <w:tab/>
        <w:t>Is any energy storage capacity assumed to be added to SDG&amp;E’s service area prior to the TCAP period?  If so, please state how much.</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4.1.5.</w:t>
      </w:r>
      <w:r w:rsidRPr="00CD51A8">
        <w:rPr>
          <w:rFonts w:ascii="Arial" w:hAnsi="Arial" w:cs="Arial"/>
        </w:rPr>
        <w:tab/>
        <w:t>If the energy storage resources are used in the simulation to provide capacity, please state percentage of useable storage capacity that is assumed referring to the cumulative level of storage capacity identified in the responses to Q.3.1.1-Q.3.1.4 for each year of the TCAP period.  (In other words, since storage is drained over the course of its use, does SoCalGas count the storage capacity at 100% of the maximum capability?)</w:t>
      </w:r>
    </w:p>
    <w:p w:rsidR="00241B65" w:rsidRDefault="00241B65" w:rsidP="00241B65">
      <w:pPr>
        <w:rPr>
          <w:rFonts w:ascii="Arial" w:hAnsi="Arial" w:cs="Arial"/>
        </w:rPr>
      </w:pPr>
    </w:p>
    <w:p w:rsidR="00241B65" w:rsidRPr="00CD51A8" w:rsidRDefault="00241B65" w:rsidP="00241B65">
      <w:pPr>
        <w:ind w:left="720" w:hanging="720"/>
        <w:rPr>
          <w:rFonts w:ascii="Arial" w:hAnsi="Arial" w:cs="Arial"/>
        </w:rPr>
      </w:pPr>
      <w:r w:rsidRPr="00CD51A8">
        <w:rPr>
          <w:rFonts w:ascii="Arial" w:hAnsi="Arial" w:cs="Arial"/>
        </w:rPr>
        <w:t>4.1.6.</w:t>
      </w:r>
      <w:r w:rsidRPr="00CD51A8">
        <w:rPr>
          <w:rFonts w:ascii="Arial" w:hAnsi="Arial" w:cs="Arial"/>
        </w:rPr>
        <w:tab/>
        <w:t>If the energy storage resources are used in the simulation to provide energy, state the amount of energy assumed to be provided by storage and state the percentage load factor assumed each year referring to the percentage of useable cumulative storage capacity identified in the responses to Q.3.1.1-Q.3.1.4 for each year of the TCAP period.</w:t>
      </w:r>
    </w:p>
    <w:p w:rsidR="00241B65" w:rsidRDefault="00241B65" w:rsidP="00241B65">
      <w:pPr>
        <w:rPr>
          <w:rFonts w:ascii="Arial" w:hAnsi="Arial" w:cs="Arial"/>
        </w:rPr>
      </w:pPr>
    </w:p>
    <w:p w:rsidR="00241B65" w:rsidRPr="0031141C" w:rsidRDefault="00241B65" w:rsidP="00241B65">
      <w:pPr>
        <w:ind w:left="720" w:hanging="720"/>
        <w:rPr>
          <w:rFonts w:ascii="Arial" w:hAnsi="Arial" w:cs="Arial"/>
        </w:rPr>
      </w:pPr>
      <w:r w:rsidRPr="00CD51A8">
        <w:rPr>
          <w:rFonts w:ascii="Arial" w:hAnsi="Arial" w:cs="Arial"/>
        </w:rPr>
        <w:t>4.1.7.</w:t>
      </w:r>
      <w:r w:rsidRPr="00CD51A8">
        <w:rPr>
          <w:rFonts w:ascii="Arial" w:hAnsi="Arial" w:cs="Arial"/>
        </w:rPr>
        <w:tab/>
        <w:t>If the energy storage resources are used in the simulation to provide ancillary services, please describe the ancillary services that SoCalGas assumes is provided by storage and state the amount of those ancillary services provided by storage for each year.</w:t>
      </w:r>
    </w:p>
    <w:p w:rsidR="00241B65" w:rsidRDefault="00241B65" w:rsidP="00241B65">
      <w:pPr>
        <w:rPr>
          <w:rFonts w:ascii="Arial" w:hAnsi="Arial" w:cs="Arial"/>
          <w:b/>
          <w:u w:val="single"/>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.1 and 4.1.2</w:t>
      </w:r>
      <w:r w:rsidRPr="00F759E8">
        <w:rPr>
          <w:rFonts w:ascii="Arial" w:hAnsi="Arial" w:cs="Arial"/>
          <w:b/>
          <w:u w:val="single"/>
        </w:rPr>
        <w:t>:</w:t>
      </w:r>
    </w:p>
    <w:p w:rsidR="00241B65" w:rsidRDefault="00241B65" w:rsidP="00241B65">
      <w:pPr>
        <w:rPr>
          <w:rFonts w:ascii="Arial" w:hAnsi="Arial" w:cs="Arial"/>
          <w:sz w:val="28"/>
          <w:szCs w:val="28"/>
        </w:rPr>
      </w:pPr>
    </w:p>
    <w:p w:rsidR="00241B65" w:rsidRDefault="00241B65" w:rsidP="00241B65">
      <w:pPr>
        <w:rPr>
          <w:rFonts w:ascii="Arial" w:hAnsi="Arial" w:cs="Arial"/>
        </w:rPr>
      </w:pPr>
      <w:r>
        <w:rPr>
          <w:rFonts w:ascii="Arial" w:hAnsi="Arial" w:cs="Arial"/>
        </w:rPr>
        <w:t>The annual new</w:t>
      </w:r>
      <w:r w:rsidRPr="00404D50">
        <w:rPr>
          <w:rFonts w:ascii="Arial" w:hAnsi="Arial" w:cs="Arial"/>
          <w:i/>
        </w:rPr>
        <w:t xml:space="preserve"> </w:t>
      </w:r>
      <w:r>
        <w:rPr>
          <w:rFonts w:ascii="Arial" w:hAnsi="Arial" w:cs="Arial"/>
        </w:rPr>
        <w:t>e</w:t>
      </w:r>
      <w:r w:rsidRPr="00B64B21">
        <w:rPr>
          <w:rFonts w:ascii="Arial" w:hAnsi="Arial" w:cs="Arial"/>
        </w:rPr>
        <w:t>nergy storage capacity</w:t>
      </w:r>
      <w:r>
        <w:rPr>
          <w:rFonts w:ascii="Arial" w:hAnsi="Arial" w:cs="Arial"/>
        </w:rPr>
        <w:t xml:space="preserve"> in megawatts (MW)</w:t>
      </w:r>
      <w:r w:rsidRPr="00B64B21">
        <w:rPr>
          <w:rFonts w:ascii="Arial" w:hAnsi="Arial" w:cs="Arial"/>
        </w:rPr>
        <w:t xml:space="preserve"> </w:t>
      </w:r>
      <w:r>
        <w:rPr>
          <w:rFonts w:ascii="Arial" w:hAnsi="Arial" w:cs="Arial"/>
        </w:rPr>
        <w:t>for</w:t>
      </w:r>
      <w:r w:rsidRPr="00B64B21">
        <w:rPr>
          <w:rFonts w:ascii="Arial" w:hAnsi="Arial" w:cs="Arial"/>
        </w:rPr>
        <w:t xml:space="preserve"> SCE and SDG&amp;E service area</w:t>
      </w:r>
      <w:r>
        <w:rPr>
          <w:rFonts w:ascii="Arial" w:hAnsi="Arial" w:cs="Arial"/>
        </w:rPr>
        <w:t>s are shown in the following table.</w:t>
      </w:r>
    </w:p>
    <w:p w:rsidR="00241B65" w:rsidRPr="00B64B21" w:rsidRDefault="00241B65" w:rsidP="00241B65">
      <w:pPr>
        <w:rPr>
          <w:rFonts w:ascii="Arial" w:hAnsi="Arial" w:cs="Arial"/>
        </w:rPr>
      </w:pPr>
    </w:p>
    <w:tbl>
      <w:tblPr>
        <w:tblW w:w="5580" w:type="dxa"/>
        <w:tblInd w:w="93" w:type="dxa"/>
        <w:tblLook w:val="04A0" w:firstRow="1" w:lastRow="0" w:firstColumn="1" w:lastColumn="0" w:noHBand="0" w:noVBand="1"/>
      </w:tblPr>
      <w:tblGrid>
        <w:gridCol w:w="1860"/>
        <w:gridCol w:w="1860"/>
        <w:gridCol w:w="1860"/>
      </w:tblGrid>
      <w:tr w:rsidR="00241B65" w:rsidTr="009F20AD">
        <w:trPr>
          <w:trHeight w:val="300"/>
        </w:trPr>
        <w:tc>
          <w:tcPr>
            <w:tcW w:w="1860" w:type="dxa"/>
            <w:tcBorders>
              <w:top w:val="nil"/>
              <w:left w:val="nil"/>
              <w:bottom w:val="single" w:sz="4" w:space="0" w:color="auto"/>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Year</w:t>
            </w:r>
          </w:p>
        </w:tc>
        <w:tc>
          <w:tcPr>
            <w:tcW w:w="1860" w:type="dxa"/>
            <w:tcBorders>
              <w:top w:val="nil"/>
              <w:left w:val="nil"/>
              <w:bottom w:val="single" w:sz="4" w:space="0" w:color="auto"/>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SCE (MW)</w:t>
            </w:r>
          </w:p>
        </w:tc>
        <w:tc>
          <w:tcPr>
            <w:tcW w:w="1860" w:type="dxa"/>
            <w:tcBorders>
              <w:top w:val="nil"/>
              <w:left w:val="nil"/>
              <w:bottom w:val="single" w:sz="4" w:space="0" w:color="auto"/>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SDG&amp;E (MW)</w:t>
            </w:r>
          </w:p>
        </w:tc>
      </w:tr>
      <w:tr w:rsidR="00241B65" w:rsidTr="009F20AD">
        <w:trPr>
          <w:trHeight w:val="300"/>
        </w:trPr>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2017</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50</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50</w:t>
            </w:r>
          </w:p>
        </w:tc>
      </w:tr>
      <w:tr w:rsidR="00241B65" w:rsidTr="009F20AD">
        <w:trPr>
          <w:trHeight w:val="300"/>
        </w:trPr>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2018</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100</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50</w:t>
            </w:r>
          </w:p>
        </w:tc>
      </w:tr>
      <w:tr w:rsidR="00241B65" w:rsidTr="009F20AD">
        <w:trPr>
          <w:trHeight w:val="300"/>
        </w:trPr>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2019</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150</w:t>
            </w:r>
          </w:p>
        </w:tc>
        <w:tc>
          <w:tcPr>
            <w:tcW w:w="1860" w:type="dxa"/>
            <w:tcBorders>
              <w:top w:val="nil"/>
              <w:left w:val="nil"/>
              <w:bottom w:val="nil"/>
              <w:right w:val="nil"/>
            </w:tcBorders>
            <w:shd w:val="clear" w:color="auto" w:fill="auto"/>
            <w:noWrap/>
            <w:vAlign w:val="bottom"/>
            <w:hideMark/>
          </w:tcPr>
          <w:p w:rsidR="00241B65" w:rsidRDefault="00241B65" w:rsidP="009F20AD">
            <w:pPr>
              <w:jc w:val="center"/>
              <w:rPr>
                <w:rFonts w:ascii="Arial" w:hAnsi="Arial" w:cs="Arial"/>
                <w:color w:val="000000"/>
              </w:rPr>
            </w:pPr>
            <w:r>
              <w:rPr>
                <w:rFonts w:ascii="Arial" w:hAnsi="Arial" w:cs="Arial"/>
                <w:color w:val="000000"/>
              </w:rPr>
              <w:t>50</w:t>
            </w:r>
          </w:p>
        </w:tc>
      </w:tr>
    </w:tbl>
    <w:p w:rsidR="00241B65" w:rsidRDefault="00241B65" w:rsidP="00241B65">
      <w:pPr>
        <w:rPr>
          <w:rFonts w:ascii="Arial" w:hAnsi="Arial" w:cs="Arial"/>
        </w:rPr>
      </w:pPr>
    </w:p>
    <w:p w:rsidR="00241B65"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.3</w:t>
      </w:r>
      <w:r w:rsidRPr="00F759E8">
        <w:rPr>
          <w:rFonts w:ascii="Arial" w:hAnsi="Arial" w:cs="Arial"/>
          <w:b/>
          <w:u w:val="single"/>
        </w:rPr>
        <w:t>:</w:t>
      </w:r>
    </w:p>
    <w:p w:rsidR="00241B65" w:rsidRDefault="00241B65" w:rsidP="00241B65">
      <w:pPr>
        <w:rPr>
          <w:rFonts w:ascii="Arial" w:hAnsi="Arial" w:cs="Arial"/>
        </w:rPr>
      </w:pPr>
    </w:p>
    <w:p w:rsidR="00241B65" w:rsidRDefault="00241B65" w:rsidP="00241B65">
      <w:pPr>
        <w:rPr>
          <w:rFonts w:ascii="Arial" w:hAnsi="Arial" w:cs="Arial"/>
        </w:rPr>
      </w:pPr>
      <w:r>
        <w:rPr>
          <w:rFonts w:ascii="Arial" w:hAnsi="Arial" w:cs="Arial"/>
        </w:rPr>
        <w:t xml:space="preserve">No. </w:t>
      </w:r>
    </w:p>
    <w:p w:rsidR="00241B65" w:rsidRDefault="00241B65" w:rsidP="00241B65">
      <w:pPr>
        <w:rPr>
          <w:rFonts w:ascii="Arial" w:hAnsi="Arial" w:cs="Arial"/>
        </w:rPr>
      </w:pPr>
    </w:p>
    <w:p w:rsidR="00241B65"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.4</w:t>
      </w:r>
      <w:r w:rsidRPr="00F759E8">
        <w:rPr>
          <w:rFonts w:ascii="Arial" w:hAnsi="Arial" w:cs="Arial"/>
          <w:b/>
          <w:u w:val="single"/>
        </w:rPr>
        <w:t>:</w:t>
      </w:r>
    </w:p>
    <w:p w:rsidR="00241B65" w:rsidRDefault="00241B65" w:rsidP="00241B65">
      <w:pPr>
        <w:rPr>
          <w:rFonts w:ascii="Arial" w:hAnsi="Arial" w:cs="Arial"/>
        </w:rPr>
      </w:pPr>
    </w:p>
    <w:p w:rsidR="00241B65" w:rsidRDefault="00241B65" w:rsidP="00241B65">
      <w:pPr>
        <w:rPr>
          <w:rFonts w:ascii="Arial" w:hAnsi="Arial" w:cs="Arial"/>
        </w:rPr>
      </w:pPr>
      <w:r>
        <w:rPr>
          <w:rFonts w:ascii="Arial" w:hAnsi="Arial" w:cs="Arial"/>
        </w:rPr>
        <w:t>Yes. The 40-MW Lake Hodges Pumped Storage Project was completed in year 2012. It is not included in the quantities shown in Response 4.1.1.</w:t>
      </w:r>
    </w:p>
    <w:p w:rsidR="00241B65" w:rsidRDefault="00241B65" w:rsidP="00241B65">
      <w:pPr>
        <w:rPr>
          <w:rFonts w:ascii="Arial" w:hAnsi="Arial" w:cs="Arial"/>
          <w:b/>
          <w:u w:val="single"/>
        </w:rPr>
      </w:pPr>
    </w:p>
    <w:p w:rsidR="00241B65"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.5</w:t>
      </w:r>
      <w:r w:rsidRPr="00F759E8">
        <w:rPr>
          <w:rFonts w:ascii="Arial" w:hAnsi="Arial" w:cs="Arial"/>
          <w:b/>
          <w:u w:val="single"/>
        </w:rPr>
        <w:t>:</w:t>
      </w:r>
    </w:p>
    <w:p w:rsidR="00241B65" w:rsidRDefault="00241B65" w:rsidP="00241B65">
      <w:pPr>
        <w:rPr>
          <w:rFonts w:ascii="Arial" w:hAnsi="Arial" w:cs="Arial"/>
        </w:rPr>
      </w:pPr>
    </w:p>
    <w:p w:rsidR="00241B65" w:rsidRPr="00E22E0E" w:rsidRDefault="00241B65" w:rsidP="00241B65">
      <w:pPr>
        <w:rPr>
          <w:rFonts w:ascii="Arial" w:hAnsi="Arial" w:cs="Arial"/>
        </w:rPr>
      </w:pPr>
      <w:r>
        <w:rPr>
          <w:rFonts w:ascii="Arial" w:hAnsi="Arial" w:cs="Arial"/>
        </w:rPr>
        <w:t>Each energy storage resource is modeled similar to a 50-MW pump storage project with 80% cycle efficiency.  For example, for this resource to generate 50-MWh energy, the system must provide 62.5-MWh energy to charge it.  When it is fully charged, it can provide energy at maximum capacity for up to 4 hours continuously or in hourly increment.  It has the flexibility to operate at lower capacity for longer period of time. The operation of the energy storage resource is based on the economic dispatch within the model run.</w:t>
      </w:r>
    </w:p>
    <w:p w:rsidR="00241B65" w:rsidRDefault="00241B65" w:rsidP="00241B65">
      <w:pPr>
        <w:rPr>
          <w:rFonts w:ascii="Arial" w:hAnsi="Arial" w:cs="Arial"/>
          <w:b/>
          <w:u w:val="single"/>
        </w:rPr>
      </w:pPr>
    </w:p>
    <w:p w:rsidR="00241B65"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.6</w:t>
      </w:r>
      <w:r w:rsidRPr="00F759E8">
        <w:rPr>
          <w:rFonts w:ascii="Arial" w:hAnsi="Arial" w:cs="Arial"/>
          <w:b/>
          <w:u w:val="single"/>
        </w:rPr>
        <w:t>:</w:t>
      </w:r>
    </w:p>
    <w:p w:rsidR="00241B65" w:rsidRDefault="00241B65" w:rsidP="00241B65">
      <w:pPr>
        <w:rPr>
          <w:rFonts w:ascii="Arial" w:hAnsi="Arial" w:cs="Arial"/>
          <w:b/>
          <w:u w:val="single"/>
        </w:rPr>
      </w:pPr>
    </w:p>
    <w:p w:rsidR="00241B65" w:rsidRPr="0005526C" w:rsidRDefault="00241B65" w:rsidP="00241B65">
      <w:pPr>
        <w:rPr>
          <w:rFonts w:ascii="Arial" w:hAnsi="Arial" w:cs="Arial"/>
        </w:rPr>
      </w:pPr>
      <w:r>
        <w:rPr>
          <w:rFonts w:ascii="Arial" w:hAnsi="Arial" w:cs="Arial"/>
        </w:rPr>
        <w:t xml:space="preserve">See Response 4.1.5.   </w:t>
      </w:r>
    </w:p>
    <w:p w:rsidR="00241B65" w:rsidRDefault="00241B65" w:rsidP="00241B65">
      <w:pPr>
        <w:rPr>
          <w:rFonts w:ascii="Arial" w:hAnsi="Arial" w:cs="Arial"/>
          <w:b/>
          <w:u w:val="single"/>
        </w:rPr>
      </w:pPr>
    </w:p>
    <w:p w:rsidR="00241B65"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1</w:t>
      </w:r>
      <w:r>
        <w:rPr>
          <w:rFonts w:ascii="Arial" w:hAnsi="Arial" w:cs="Arial"/>
          <w:b/>
          <w:u w:val="single"/>
        </w:rPr>
        <w:t>.7</w:t>
      </w:r>
      <w:r w:rsidRPr="00F759E8">
        <w:rPr>
          <w:rFonts w:ascii="Arial" w:hAnsi="Arial" w:cs="Arial"/>
          <w:b/>
          <w:u w:val="single"/>
        </w:rPr>
        <w:t>:</w:t>
      </w:r>
    </w:p>
    <w:p w:rsidR="00241B65" w:rsidRDefault="00241B65" w:rsidP="00241B65">
      <w:pPr>
        <w:rPr>
          <w:rFonts w:ascii="Arial" w:hAnsi="Arial" w:cs="Arial"/>
          <w:b/>
          <w:u w:val="single"/>
        </w:rPr>
      </w:pPr>
    </w:p>
    <w:p w:rsidR="00241B65" w:rsidRDefault="00241B65" w:rsidP="00241B65">
      <w:pPr>
        <w:rPr>
          <w:rFonts w:ascii="Arial" w:hAnsi="Arial" w:cs="Arial"/>
        </w:rPr>
      </w:pPr>
      <w:r>
        <w:rPr>
          <w:rFonts w:ascii="Arial" w:hAnsi="Arial" w:cs="Arial"/>
        </w:rPr>
        <w:t>No ancillary services for energy storage resources were modeled.</w:t>
      </w:r>
    </w:p>
    <w:p w:rsidR="00241B65" w:rsidRDefault="00241B65" w:rsidP="00241B65">
      <w:pPr>
        <w:rPr>
          <w:rFonts w:ascii="Arial" w:hAnsi="Arial" w:cs="Arial"/>
          <w:b/>
          <w:u w:val="single"/>
        </w:rPr>
      </w:pPr>
      <w:r>
        <w:rPr>
          <w:rFonts w:ascii="Arial" w:hAnsi="Arial" w:cs="Arial"/>
          <w:b/>
          <w:u w:val="single"/>
        </w:rPr>
        <w:br w:type="page"/>
      </w:r>
    </w:p>
    <w:p w:rsidR="00241B65" w:rsidRDefault="00241B65" w:rsidP="00241B65">
      <w:pPr>
        <w:rPr>
          <w:rFonts w:ascii="Arial" w:hAnsi="Arial" w:cs="Arial"/>
          <w:b/>
          <w:u w:val="single"/>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QUESTION </w:t>
      </w:r>
      <w:r>
        <w:rPr>
          <w:rFonts w:ascii="Arial" w:hAnsi="Arial" w:cs="Arial"/>
          <w:b/>
          <w:u w:val="single"/>
        </w:rPr>
        <w:t>4.2</w:t>
      </w:r>
      <w:r w:rsidRPr="00F759E8">
        <w:rPr>
          <w:rFonts w:ascii="Arial" w:hAnsi="Arial" w:cs="Arial"/>
          <w:b/>
          <w:u w:val="single"/>
        </w:rPr>
        <w:t>:</w:t>
      </w:r>
    </w:p>
    <w:p w:rsidR="00241B65" w:rsidRDefault="00241B65" w:rsidP="00241B65">
      <w:pPr>
        <w:rPr>
          <w:rFonts w:ascii="Arial" w:hAnsi="Arial" w:cs="Arial"/>
        </w:rPr>
      </w:pPr>
    </w:p>
    <w:p w:rsidR="00241B65" w:rsidRPr="0031141C" w:rsidRDefault="00241B65" w:rsidP="00241B65">
      <w:pPr>
        <w:rPr>
          <w:rFonts w:ascii="Arial" w:hAnsi="Arial" w:cs="Arial"/>
        </w:rPr>
      </w:pPr>
      <w:r w:rsidRPr="00CD51A8">
        <w:rPr>
          <w:rFonts w:ascii="Arial" w:hAnsi="Arial" w:cs="Arial"/>
        </w:rPr>
        <w:t>What is the GHG price forecast for each year of the TCAP forecast?</w:t>
      </w:r>
    </w:p>
    <w:p w:rsidR="00241B65" w:rsidRPr="0031141C" w:rsidRDefault="00241B65" w:rsidP="00241B65">
      <w:pPr>
        <w:rPr>
          <w:rFonts w:ascii="Arial" w:hAnsi="Arial" w:cs="Arial"/>
          <w:b/>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4.2</w:t>
      </w:r>
      <w:r w:rsidRPr="00F759E8">
        <w:rPr>
          <w:rFonts w:ascii="Arial" w:hAnsi="Arial" w:cs="Arial"/>
          <w:b/>
          <w:u w:val="single"/>
        </w:rPr>
        <w:t>:</w:t>
      </w:r>
    </w:p>
    <w:p w:rsidR="00241B65" w:rsidRDefault="00241B65" w:rsidP="00241B65">
      <w:pPr>
        <w:rPr>
          <w:rFonts w:ascii="Arial" w:hAnsi="Arial" w:cs="Arial"/>
          <w:sz w:val="28"/>
          <w:szCs w:val="28"/>
        </w:rPr>
      </w:pPr>
    </w:p>
    <w:p w:rsidR="00241B65" w:rsidRDefault="00241B65" w:rsidP="00241B65">
      <w:pPr>
        <w:pStyle w:val="Testimony"/>
        <w:spacing w:after="0" w:line="240" w:lineRule="auto"/>
        <w:rPr>
          <w:b/>
        </w:rPr>
      </w:pPr>
    </w:p>
    <w:p w:rsidR="00241B65" w:rsidRDefault="00241B65" w:rsidP="00241B65">
      <w:pPr>
        <w:pStyle w:val="Testimony"/>
        <w:suppressLineNumbers/>
        <w:spacing w:after="0" w:line="240" w:lineRule="auto"/>
        <w:jc w:val="center"/>
        <w:rPr>
          <w:b/>
          <w:bCs/>
        </w:rPr>
      </w:pPr>
      <w:r>
        <w:rPr>
          <w:b/>
        </w:rPr>
        <w:t>GHG Compliance Costs</w:t>
      </w:r>
    </w:p>
    <w:tbl>
      <w:tblPr>
        <w:tblW w:w="5018" w:type="dxa"/>
        <w:tblInd w:w="2520" w:type="dxa"/>
        <w:tblLayout w:type="fixed"/>
        <w:tblLook w:val="04A0" w:firstRow="1" w:lastRow="0" w:firstColumn="1" w:lastColumn="0" w:noHBand="0" w:noVBand="1"/>
      </w:tblPr>
      <w:tblGrid>
        <w:gridCol w:w="2102"/>
        <w:gridCol w:w="696"/>
        <w:gridCol w:w="100"/>
        <w:gridCol w:w="1010"/>
        <w:gridCol w:w="1110"/>
      </w:tblGrid>
      <w:tr w:rsidR="00241B65" w:rsidRPr="00EF0EF6" w:rsidTr="009F20AD">
        <w:trPr>
          <w:trHeight w:val="365"/>
        </w:trPr>
        <w:tc>
          <w:tcPr>
            <w:tcW w:w="2102" w:type="dxa"/>
            <w:tcBorders>
              <w:top w:val="single" w:sz="12" w:space="0" w:color="000000"/>
              <w:left w:val="nil"/>
              <w:bottom w:val="single" w:sz="8" w:space="0" w:color="000000"/>
              <w:right w:val="single" w:sz="8" w:space="0" w:color="000000"/>
            </w:tcBorders>
            <w:shd w:val="clear" w:color="auto" w:fill="auto"/>
            <w:vAlign w:val="center"/>
            <w:hideMark/>
          </w:tcPr>
          <w:p w:rsidR="00241B65" w:rsidRPr="00EF0EF6" w:rsidRDefault="00241B65" w:rsidP="009F20AD">
            <w:pPr>
              <w:rPr>
                <w:i/>
                <w:iCs/>
                <w:color w:val="000000"/>
              </w:rPr>
            </w:pPr>
            <w:r w:rsidRPr="00EF0EF6">
              <w:rPr>
                <w:i/>
                <w:iCs/>
                <w:color w:val="000000"/>
              </w:rPr>
              <w:t> </w:t>
            </w:r>
          </w:p>
        </w:tc>
        <w:tc>
          <w:tcPr>
            <w:tcW w:w="696" w:type="dxa"/>
            <w:tcBorders>
              <w:top w:val="single" w:sz="12" w:space="0" w:color="000000"/>
              <w:left w:val="nil"/>
              <w:bottom w:val="single" w:sz="8" w:space="0" w:color="000000"/>
              <w:right w:val="nil"/>
            </w:tcBorders>
            <w:shd w:val="clear" w:color="auto" w:fill="auto"/>
            <w:vAlign w:val="center"/>
            <w:hideMark/>
          </w:tcPr>
          <w:p w:rsidR="00241B65" w:rsidRPr="00EF0EF6" w:rsidRDefault="00241B65" w:rsidP="009F20AD">
            <w:pPr>
              <w:jc w:val="center"/>
              <w:rPr>
                <w:i/>
                <w:iCs/>
                <w:color w:val="000000"/>
              </w:rPr>
            </w:pPr>
            <w:r w:rsidRPr="00EF0EF6">
              <w:rPr>
                <w:i/>
                <w:iCs/>
                <w:color w:val="000000"/>
              </w:rPr>
              <w:t>2017</w:t>
            </w:r>
          </w:p>
        </w:tc>
        <w:tc>
          <w:tcPr>
            <w:tcW w:w="1110" w:type="dxa"/>
            <w:gridSpan w:val="2"/>
            <w:tcBorders>
              <w:top w:val="single" w:sz="12" w:space="0" w:color="000000"/>
              <w:left w:val="nil"/>
              <w:bottom w:val="single" w:sz="8" w:space="0" w:color="000000"/>
              <w:right w:val="nil"/>
            </w:tcBorders>
            <w:shd w:val="clear" w:color="auto" w:fill="auto"/>
            <w:vAlign w:val="center"/>
            <w:hideMark/>
          </w:tcPr>
          <w:p w:rsidR="00241B65" w:rsidRPr="00EF0EF6" w:rsidRDefault="00241B65" w:rsidP="009F20AD">
            <w:pPr>
              <w:jc w:val="center"/>
              <w:rPr>
                <w:i/>
                <w:iCs/>
                <w:color w:val="000000"/>
              </w:rPr>
            </w:pPr>
            <w:r w:rsidRPr="00EF0EF6">
              <w:rPr>
                <w:i/>
                <w:iCs/>
                <w:color w:val="000000"/>
              </w:rPr>
              <w:t>2018</w:t>
            </w:r>
          </w:p>
        </w:tc>
        <w:tc>
          <w:tcPr>
            <w:tcW w:w="1110" w:type="dxa"/>
            <w:tcBorders>
              <w:top w:val="single" w:sz="12" w:space="0" w:color="000000"/>
              <w:left w:val="nil"/>
              <w:bottom w:val="single" w:sz="8" w:space="0" w:color="000000"/>
              <w:right w:val="nil"/>
            </w:tcBorders>
            <w:shd w:val="clear" w:color="auto" w:fill="auto"/>
            <w:vAlign w:val="center"/>
            <w:hideMark/>
          </w:tcPr>
          <w:p w:rsidR="00241B65" w:rsidRPr="00EF0EF6" w:rsidRDefault="00241B65" w:rsidP="009F20AD">
            <w:pPr>
              <w:jc w:val="center"/>
              <w:rPr>
                <w:i/>
                <w:iCs/>
                <w:color w:val="000000"/>
              </w:rPr>
            </w:pPr>
            <w:r w:rsidRPr="00EF0EF6">
              <w:rPr>
                <w:i/>
                <w:iCs/>
                <w:color w:val="000000"/>
              </w:rPr>
              <w:t>2019</w:t>
            </w:r>
          </w:p>
        </w:tc>
      </w:tr>
      <w:tr w:rsidR="00241B65" w:rsidRPr="00EF0EF6" w:rsidTr="009F20AD">
        <w:trPr>
          <w:trHeight w:val="1015"/>
        </w:trPr>
        <w:tc>
          <w:tcPr>
            <w:tcW w:w="2102" w:type="dxa"/>
            <w:tcBorders>
              <w:top w:val="nil"/>
              <w:left w:val="nil"/>
              <w:bottom w:val="single" w:sz="8" w:space="0" w:color="auto"/>
              <w:right w:val="single" w:sz="8" w:space="0" w:color="000000"/>
            </w:tcBorders>
            <w:shd w:val="clear" w:color="auto" w:fill="auto"/>
            <w:vAlign w:val="center"/>
            <w:hideMark/>
          </w:tcPr>
          <w:p w:rsidR="00241B65" w:rsidRPr="00EF0EF6" w:rsidRDefault="00241B65" w:rsidP="009F20AD">
            <w:pPr>
              <w:rPr>
                <w:color w:val="000000"/>
              </w:rPr>
            </w:pPr>
            <w:r w:rsidRPr="00EF0EF6">
              <w:rPr>
                <w:color w:val="000000"/>
              </w:rPr>
              <w:t>Nominal $/ Short Ton of CO2</w:t>
            </w:r>
          </w:p>
        </w:tc>
        <w:tc>
          <w:tcPr>
            <w:tcW w:w="796" w:type="dxa"/>
            <w:gridSpan w:val="2"/>
            <w:tcBorders>
              <w:top w:val="nil"/>
              <w:left w:val="nil"/>
              <w:bottom w:val="single" w:sz="8" w:space="0" w:color="auto"/>
              <w:right w:val="nil"/>
            </w:tcBorders>
            <w:shd w:val="clear" w:color="auto" w:fill="auto"/>
            <w:vAlign w:val="center"/>
            <w:hideMark/>
          </w:tcPr>
          <w:p w:rsidR="00241B65" w:rsidRPr="00EF0EF6" w:rsidRDefault="00241B65" w:rsidP="009F20AD">
            <w:pPr>
              <w:jc w:val="right"/>
              <w:rPr>
                <w:color w:val="000000"/>
              </w:rPr>
            </w:pPr>
            <w:r w:rsidRPr="00EF0EF6">
              <w:rPr>
                <w:color w:val="000000"/>
              </w:rPr>
              <w:t>13.61</w:t>
            </w:r>
          </w:p>
        </w:tc>
        <w:tc>
          <w:tcPr>
            <w:tcW w:w="1010" w:type="dxa"/>
            <w:tcBorders>
              <w:top w:val="nil"/>
              <w:left w:val="nil"/>
              <w:bottom w:val="single" w:sz="8" w:space="0" w:color="auto"/>
              <w:right w:val="nil"/>
            </w:tcBorders>
            <w:shd w:val="clear" w:color="auto" w:fill="auto"/>
            <w:vAlign w:val="center"/>
            <w:hideMark/>
          </w:tcPr>
          <w:p w:rsidR="00241B65" w:rsidRPr="00EF0EF6" w:rsidRDefault="00241B65" w:rsidP="009F20AD">
            <w:pPr>
              <w:jc w:val="right"/>
              <w:rPr>
                <w:color w:val="000000"/>
              </w:rPr>
            </w:pPr>
            <w:r w:rsidRPr="00EF0EF6">
              <w:rPr>
                <w:color w:val="000000"/>
              </w:rPr>
              <w:t>14.14</w:t>
            </w:r>
          </w:p>
        </w:tc>
        <w:tc>
          <w:tcPr>
            <w:tcW w:w="1110" w:type="dxa"/>
            <w:tcBorders>
              <w:top w:val="nil"/>
              <w:left w:val="nil"/>
              <w:bottom w:val="single" w:sz="8" w:space="0" w:color="auto"/>
              <w:right w:val="nil"/>
            </w:tcBorders>
            <w:shd w:val="clear" w:color="auto" w:fill="auto"/>
            <w:vAlign w:val="center"/>
            <w:hideMark/>
          </w:tcPr>
          <w:p w:rsidR="00241B65" w:rsidRPr="00EF0EF6" w:rsidRDefault="00241B65" w:rsidP="009F20AD">
            <w:pPr>
              <w:jc w:val="right"/>
              <w:rPr>
                <w:color w:val="000000"/>
              </w:rPr>
            </w:pPr>
            <w:r w:rsidRPr="00EF0EF6">
              <w:rPr>
                <w:color w:val="000000"/>
              </w:rPr>
              <w:t>14.64</w:t>
            </w:r>
          </w:p>
        </w:tc>
      </w:tr>
    </w:tbl>
    <w:p w:rsidR="00241B65" w:rsidRDefault="00241B65" w:rsidP="00241B65">
      <w:pPr>
        <w:suppressLineNumbers/>
        <w:spacing w:line="360" w:lineRule="auto"/>
        <w:ind w:firstLine="720"/>
      </w:pPr>
    </w:p>
    <w:p w:rsidR="00241B65" w:rsidRDefault="00241B65" w:rsidP="00241B65">
      <w:pPr>
        <w:rPr>
          <w:rFonts w:ascii="Arial" w:hAnsi="Arial" w:cs="Arial"/>
          <w:sz w:val="28"/>
          <w:szCs w:val="28"/>
        </w:rPr>
      </w:pPr>
    </w:p>
    <w:p w:rsidR="00241B65" w:rsidRDefault="00241B65" w:rsidP="00241B65">
      <w:pPr>
        <w:rPr>
          <w:rFonts w:ascii="Arial" w:hAnsi="Arial" w:cs="Arial"/>
          <w:b/>
          <w:u w:val="single"/>
        </w:rPr>
      </w:pPr>
      <w:r>
        <w:rPr>
          <w:rFonts w:ascii="Arial" w:hAnsi="Arial" w:cs="Arial"/>
          <w:b/>
          <w:u w:val="single"/>
        </w:rPr>
        <w:br w:type="page"/>
      </w:r>
    </w:p>
    <w:p w:rsidR="00241B65" w:rsidRDefault="00241B65" w:rsidP="00241B65">
      <w:pPr>
        <w:rPr>
          <w:rFonts w:ascii="Arial" w:hAnsi="Arial" w:cs="Arial"/>
          <w:b/>
          <w:u w:val="single"/>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QUESTION </w:t>
      </w:r>
      <w:r>
        <w:rPr>
          <w:rFonts w:ascii="Arial" w:hAnsi="Arial" w:cs="Arial"/>
          <w:b/>
          <w:u w:val="single"/>
        </w:rPr>
        <w:t>4.3</w:t>
      </w:r>
      <w:r w:rsidRPr="00F759E8">
        <w:rPr>
          <w:rFonts w:ascii="Arial" w:hAnsi="Arial" w:cs="Arial"/>
          <w:b/>
          <w:u w:val="single"/>
        </w:rPr>
        <w:t>:</w:t>
      </w:r>
    </w:p>
    <w:p w:rsidR="00241B65" w:rsidRPr="0031141C" w:rsidRDefault="00241B65" w:rsidP="00241B65">
      <w:pPr>
        <w:rPr>
          <w:rFonts w:ascii="Arial" w:hAnsi="Arial" w:cs="Arial"/>
        </w:rPr>
      </w:pPr>
    </w:p>
    <w:p w:rsidR="00241B65" w:rsidRPr="0031141C" w:rsidRDefault="00241B65" w:rsidP="00241B65">
      <w:pPr>
        <w:rPr>
          <w:rFonts w:ascii="Arial" w:hAnsi="Arial" w:cs="Arial"/>
        </w:rPr>
      </w:pPr>
      <w:r w:rsidRPr="00CD51A8">
        <w:rPr>
          <w:rFonts w:ascii="Arial" w:hAnsi="Arial" w:cs="Arial"/>
        </w:rPr>
        <w:t xml:space="preserve">Please provide forecasted large EG usage (combined UEG, EWG, large </w:t>
      </w:r>
      <w:proofErr w:type="spellStart"/>
      <w:r w:rsidRPr="00CD51A8">
        <w:rPr>
          <w:rFonts w:ascii="Arial" w:hAnsi="Arial" w:cs="Arial"/>
        </w:rPr>
        <w:t>cogen</w:t>
      </w:r>
      <w:proofErr w:type="spellEnd"/>
      <w:r w:rsidRPr="00CD51A8">
        <w:rPr>
          <w:rFonts w:ascii="Arial" w:hAnsi="Arial" w:cs="Arial"/>
        </w:rPr>
        <w:t>) for each day of the TCAP forecast period separately for SoCalGas and SDG&amp;E.</w:t>
      </w:r>
    </w:p>
    <w:p w:rsidR="00241B65" w:rsidRPr="0031141C" w:rsidRDefault="00241B65" w:rsidP="00241B65">
      <w:pPr>
        <w:rPr>
          <w:rFonts w:ascii="Arial" w:hAnsi="Arial" w:cs="Arial"/>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4.3</w:t>
      </w:r>
      <w:r w:rsidRPr="00F759E8">
        <w:rPr>
          <w:rFonts w:ascii="Arial" w:hAnsi="Arial" w:cs="Arial"/>
          <w:b/>
          <w:u w:val="single"/>
        </w:rPr>
        <w:t>:</w:t>
      </w:r>
    </w:p>
    <w:p w:rsidR="00241B65" w:rsidRDefault="00241B65" w:rsidP="00241B65">
      <w:pPr>
        <w:rPr>
          <w:rFonts w:ascii="Arial" w:hAnsi="Arial" w:cs="Arial"/>
          <w:sz w:val="28"/>
          <w:szCs w:val="28"/>
        </w:rPr>
      </w:pPr>
    </w:p>
    <w:p w:rsidR="00241B65" w:rsidRDefault="00241B65" w:rsidP="00241B65">
      <w:pPr>
        <w:rPr>
          <w:rFonts w:ascii="Arial" w:hAnsi="Arial" w:cs="Arial"/>
          <w:b/>
          <w:u w:val="single"/>
        </w:rPr>
      </w:pPr>
      <w:r w:rsidRPr="00796993">
        <w:rPr>
          <w:rFonts w:ascii="Arial" w:hAnsi="Arial" w:cs="Arial"/>
        </w:rPr>
        <w:t>No such forecast is available</w:t>
      </w:r>
      <w:r>
        <w:rPr>
          <w:rFonts w:ascii="Arial" w:hAnsi="Arial" w:cs="Arial"/>
        </w:rPr>
        <w:t>; development of our TCAP proposals requires an annual forecast</w:t>
      </w:r>
      <w:r w:rsidRPr="00796993">
        <w:rPr>
          <w:rFonts w:ascii="Arial" w:hAnsi="Arial" w:cs="Arial"/>
        </w:rPr>
        <w:t xml:space="preserve">, </w:t>
      </w:r>
      <w:r>
        <w:rPr>
          <w:rFonts w:ascii="Arial" w:hAnsi="Arial" w:cs="Arial"/>
        </w:rPr>
        <w:t xml:space="preserve">but </w:t>
      </w:r>
      <w:r w:rsidRPr="00796993">
        <w:rPr>
          <w:rFonts w:ascii="Arial" w:hAnsi="Arial" w:cs="Arial"/>
        </w:rPr>
        <w:t xml:space="preserve">not </w:t>
      </w:r>
      <w:r>
        <w:rPr>
          <w:rFonts w:ascii="Arial" w:hAnsi="Arial" w:cs="Arial"/>
        </w:rPr>
        <w:t xml:space="preserve">a </w:t>
      </w:r>
      <w:r w:rsidRPr="00796993">
        <w:rPr>
          <w:rFonts w:ascii="Arial" w:hAnsi="Arial" w:cs="Arial"/>
        </w:rPr>
        <w:t>daily forecast.</w:t>
      </w:r>
      <w:r>
        <w:rPr>
          <w:rFonts w:ascii="Arial" w:hAnsi="Arial" w:cs="Arial"/>
          <w:b/>
          <w:u w:val="single"/>
        </w:rPr>
        <w:br w:type="page"/>
      </w:r>
    </w:p>
    <w:p w:rsidR="00241B65" w:rsidRDefault="00241B65" w:rsidP="00241B65">
      <w:pPr>
        <w:rPr>
          <w:rFonts w:ascii="Arial" w:hAnsi="Arial" w:cs="Arial"/>
          <w:b/>
          <w:u w:val="single"/>
        </w:rPr>
      </w:pPr>
    </w:p>
    <w:p w:rsidR="00241B65" w:rsidRDefault="00241B65" w:rsidP="00241B65">
      <w:pPr>
        <w:rPr>
          <w:rFonts w:ascii="Arial" w:hAnsi="Arial" w:cs="Arial"/>
          <w:b/>
          <w:u w:val="single"/>
        </w:rPr>
      </w:pPr>
    </w:p>
    <w:p w:rsidR="00241B65" w:rsidRPr="0031141C" w:rsidRDefault="00241B65" w:rsidP="00241B65">
      <w:pPr>
        <w:rPr>
          <w:rFonts w:ascii="Arial" w:hAnsi="Arial" w:cs="Arial"/>
          <w:b/>
        </w:rPr>
      </w:pPr>
      <w:r w:rsidRPr="00F759E8">
        <w:rPr>
          <w:rFonts w:ascii="Arial" w:hAnsi="Arial" w:cs="Arial"/>
          <w:b/>
          <w:u w:val="single"/>
        </w:rPr>
        <w:t xml:space="preserve">QUESTION </w:t>
      </w:r>
      <w:r>
        <w:rPr>
          <w:rFonts w:ascii="Arial" w:hAnsi="Arial" w:cs="Arial"/>
          <w:b/>
          <w:u w:val="single"/>
        </w:rPr>
        <w:t>4.4</w:t>
      </w:r>
      <w:r w:rsidRPr="00F759E8">
        <w:rPr>
          <w:rFonts w:ascii="Arial" w:hAnsi="Arial" w:cs="Arial"/>
          <w:b/>
          <w:u w:val="single"/>
        </w:rPr>
        <w:t>:</w:t>
      </w:r>
    </w:p>
    <w:p w:rsidR="00241B65" w:rsidRPr="0031141C" w:rsidRDefault="00241B65" w:rsidP="00241B65">
      <w:pPr>
        <w:rPr>
          <w:rFonts w:ascii="Arial" w:hAnsi="Arial" w:cs="Arial"/>
        </w:rPr>
      </w:pPr>
    </w:p>
    <w:p w:rsidR="00241B65" w:rsidRPr="0031141C" w:rsidRDefault="00241B65" w:rsidP="00241B65">
      <w:pPr>
        <w:rPr>
          <w:rFonts w:ascii="Arial" w:hAnsi="Arial" w:cs="Arial"/>
        </w:rPr>
      </w:pPr>
      <w:r w:rsidRPr="00CD51A8">
        <w:rPr>
          <w:rFonts w:ascii="Arial" w:hAnsi="Arial" w:cs="Arial"/>
        </w:rPr>
        <w:t>How did SoCalGas determine which day was the “coincidental peak day of the combined SoCalGas and SDG&amp;E system from the production cost model run for the month of December”?</w:t>
      </w:r>
    </w:p>
    <w:p w:rsidR="00241B65" w:rsidRPr="0031141C" w:rsidRDefault="00241B65" w:rsidP="00241B65">
      <w:pPr>
        <w:rPr>
          <w:rFonts w:ascii="Arial" w:hAnsi="Arial" w:cs="Arial"/>
        </w:rPr>
      </w:pPr>
    </w:p>
    <w:p w:rsidR="00241B65" w:rsidRDefault="00241B65" w:rsidP="00241B65">
      <w:pPr>
        <w:rPr>
          <w:rFonts w:ascii="Arial" w:hAnsi="Arial" w:cs="Arial"/>
          <w:b/>
          <w:u w:val="single"/>
        </w:rPr>
      </w:pPr>
    </w:p>
    <w:p w:rsidR="00241B65" w:rsidRPr="00F759E8" w:rsidRDefault="00241B65" w:rsidP="00241B65">
      <w:pPr>
        <w:rPr>
          <w:rFonts w:ascii="Arial" w:hAnsi="Arial" w:cs="Arial"/>
          <w:b/>
          <w:u w:val="single"/>
        </w:rPr>
      </w:pPr>
      <w:r w:rsidRPr="00F759E8">
        <w:rPr>
          <w:rFonts w:ascii="Arial" w:hAnsi="Arial" w:cs="Arial"/>
          <w:b/>
          <w:u w:val="single"/>
        </w:rPr>
        <w:t xml:space="preserve">RESPONSE </w:t>
      </w:r>
      <w:r>
        <w:rPr>
          <w:rFonts w:ascii="Arial" w:hAnsi="Arial" w:cs="Arial"/>
          <w:b/>
          <w:u w:val="single"/>
        </w:rPr>
        <w:t>4.4</w:t>
      </w:r>
      <w:r w:rsidRPr="00F759E8">
        <w:rPr>
          <w:rFonts w:ascii="Arial" w:hAnsi="Arial" w:cs="Arial"/>
          <w:b/>
          <w:u w:val="single"/>
        </w:rPr>
        <w:t>:</w:t>
      </w:r>
    </w:p>
    <w:p w:rsidR="00241B65" w:rsidRDefault="00241B65" w:rsidP="00241B65">
      <w:pPr>
        <w:rPr>
          <w:rFonts w:ascii="Arial" w:hAnsi="Arial" w:cs="Arial"/>
          <w:sz w:val="28"/>
          <w:szCs w:val="28"/>
        </w:rPr>
      </w:pPr>
    </w:p>
    <w:p w:rsidR="00241B65" w:rsidRPr="009D4DF9" w:rsidRDefault="00241B65" w:rsidP="00241B65">
      <w:pPr>
        <w:rPr>
          <w:rFonts w:ascii="Arial" w:hAnsi="Arial" w:cs="Arial"/>
        </w:rPr>
      </w:pPr>
      <w:r w:rsidRPr="009D4DF9">
        <w:rPr>
          <w:rFonts w:ascii="Arial" w:hAnsi="Arial" w:cs="Arial"/>
        </w:rPr>
        <w:t>Coincidental peak day is the December day with the highest expected combined daily gas throughput of SDG&amp;E UEG/EWG, SoCalGas UEG/EWG, and SoCalGas Large Cogen.</w:t>
      </w:r>
      <w:r>
        <w:rPr>
          <w:rFonts w:ascii="Arial" w:hAnsi="Arial" w:cs="Arial"/>
        </w:rPr>
        <w:t xml:space="preserve">  </w:t>
      </w:r>
      <w:r w:rsidRPr="00883372">
        <w:rPr>
          <w:rFonts w:ascii="Arial" w:hAnsi="Arial" w:cs="Arial"/>
        </w:rPr>
        <w:t>December was selected since this is the month that the core customer gas demand is likely to peak.</w:t>
      </w:r>
    </w:p>
    <w:p w:rsidR="00241B65" w:rsidRDefault="00241B65" w:rsidP="00241B65">
      <w:pPr>
        <w:rPr>
          <w:rFonts w:ascii="Arial" w:hAnsi="Arial" w:cs="Arial"/>
          <w:sz w:val="28"/>
          <w:szCs w:val="28"/>
        </w:rPr>
      </w:pPr>
    </w:p>
    <w:p w:rsidR="00241B65" w:rsidRDefault="00241B65" w:rsidP="00241B65">
      <w:pPr>
        <w:rPr>
          <w:rFonts w:ascii="Arial" w:hAnsi="Arial" w:cs="Arial"/>
          <w:sz w:val="28"/>
          <w:szCs w:val="28"/>
        </w:rPr>
      </w:pPr>
    </w:p>
    <w:p w:rsidR="00241B65" w:rsidRDefault="00241B65" w:rsidP="00241B65">
      <w:pPr>
        <w:rPr>
          <w:rFonts w:ascii="Arial" w:hAnsi="Arial" w:cs="Arial"/>
          <w:b/>
          <w:u w:val="single"/>
        </w:rPr>
      </w:pPr>
      <w:r>
        <w:rPr>
          <w:rFonts w:ascii="Arial" w:hAnsi="Arial" w:cs="Arial"/>
          <w:b/>
          <w:u w:val="single"/>
        </w:rPr>
        <w:br w:type="page"/>
      </w:r>
    </w:p>
    <w:p w:rsidR="00241B65" w:rsidRDefault="00241B65" w:rsidP="00241B65">
      <w:pPr>
        <w:rPr>
          <w:rFonts w:ascii="Arial" w:hAnsi="Arial" w:cs="Arial"/>
          <w:b/>
          <w:u w:val="single"/>
        </w:rPr>
      </w:pPr>
    </w:p>
    <w:p w:rsidR="00241B65" w:rsidRDefault="00241B65" w:rsidP="00241B65">
      <w:pPr>
        <w:rPr>
          <w:rFonts w:ascii="Arial" w:hAnsi="Arial" w:cs="Arial"/>
          <w:b/>
          <w:u w:val="single"/>
        </w:rPr>
      </w:pPr>
    </w:p>
    <w:p w:rsidR="00F67377" w:rsidRPr="0031141C" w:rsidRDefault="00241B65" w:rsidP="00F67377">
      <w:pPr>
        <w:rPr>
          <w:rFonts w:ascii="Arial" w:hAnsi="Arial" w:cs="Arial"/>
          <w:b/>
        </w:rPr>
      </w:pPr>
      <w:r w:rsidRPr="00F759E8">
        <w:rPr>
          <w:rFonts w:ascii="Arial" w:hAnsi="Arial" w:cs="Arial"/>
          <w:b/>
          <w:u w:val="single"/>
        </w:rPr>
        <w:t xml:space="preserve">QUESTION </w:t>
      </w:r>
      <w:r>
        <w:rPr>
          <w:rFonts w:ascii="Arial" w:hAnsi="Arial" w:cs="Arial"/>
          <w:b/>
          <w:u w:val="single"/>
        </w:rPr>
        <w:t>4.5</w:t>
      </w:r>
      <w:r w:rsidRPr="00F759E8">
        <w:rPr>
          <w:rFonts w:ascii="Arial" w:hAnsi="Arial" w:cs="Arial"/>
          <w:b/>
          <w:u w:val="single"/>
        </w:rPr>
        <w:t>:</w:t>
      </w:r>
    </w:p>
    <w:p w:rsidR="005F4287" w:rsidRPr="0031141C" w:rsidRDefault="005F4287" w:rsidP="00F67377">
      <w:pPr>
        <w:rPr>
          <w:rFonts w:ascii="Arial" w:hAnsi="Arial" w:cs="Arial"/>
        </w:rPr>
      </w:pPr>
    </w:p>
    <w:p w:rsidR="00CD51A8" w:rsidRPr="00CD51A8" w:rsidRDefault="00CD51A8" w:rsidP="00CD51A8">
      <w:pPr>
        <w:rPr>
          <w:rFonts w:ascii="Arial" w:hAnsi="Arial" w:cs="Arial"/>
        </w:rPr>
      </w:pPr>
      <w:r w:rsidRPr="00CD51A8">
        <w:rPr>
          <w:rFonts w:ascii="Arial" w:hAnsi="Arial" w:cs="Arial"/>
        </w:rPr>
        <w:t>The following questions are addressed to the Direct Testimony of Bruce Wetzel:</w:t>
      </w:r>
    </w:p>
    <w:p w:rsidR="00CD51A8" w:rsidRDefault="00CD51A8" w:rsidP="00CD51A8">
      <w:pPr>
        <w:rPr>
          <w:rFonts w:ascii="Arial" w:hAnsi="Arial" w:cs="Arial"/>
        </w:rPr>
      </w:pPr>
    </w:p>
    <w:p w:rsidR="00582C14" w:rsidRPr="0031141C" w:rsidRDefault="00CD51A8" w:rsidP="00CD51A8">
      <w:pPr>
        <w:rPr>
          <w:rFonts w:ascii="Arial" w:hAnsi="Arial" w:cs="Arial"/>
        </w:rPr>
      </w:pPr>
      <w:r w:rsidRPr="00CD51A8">
        <w:rPr>
          <w:rFonts w:ascii="Arial" w:hAnsi="Arial" w:cs="Arial"/>
        </w:rPr>
        <w:t>With respect to Table 1 on page 2, please provide the recorded meter counts for each customer class shown for the years 2010-2014.</w:t>
      </w:r>
    </w:p>
    <w:p w:rsidR="00F67377" w:rsidRPr="0031141C" w:rsidRDefault="00F67377" w:rsidP="00F67377">
      <w:pPr>
        <w:rPr>
          <w:rFonts w:ascii="Arial" w:hAnsi="Arial" w:cs="Arial"/>
        </w:rPr>
      </w:pPr>
    </w:p>
    <w:p w:rsidR="00CD51A8" w:rsidRDefault="00CD51A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CD51A8">
        <w:rPr>
          <w:rFonts w:ascii="Arial" w:hAnsi="Arial" w:cs="Arial"/>
          <w:b/>
          <w:u w:val="single"/>
        </w:rPr>
        <w:t>4.</w:t>
      </w:r>
      <w:r>
        <w:rPr>
          <w:rFonts w:ascii="Arial" w:hAnsi="Arial" w:cs="Arial"/>
          <w:b/>
          <w:u w:val="single"/>
        </w:rPr>
        <w:t>5</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B4710D" w:rsidRDefault="00B4710D" w:rsidP="005C6E7A">
      <w:pPr>
        <w:rPr>
          <w:rFonts w:ascii="Arial" w:hAnsi="Arial" w:cs="Arial"/>
          <w:sz w:val="28"/>
          <w:szCs w:val="28"/>
        </w:rPr>
      </w:pPr>
    </w:p>
    <w:p w:rsidR="00B4710D" w:rsidRDefault="00B4710D" w:rsidP="00B4710D">
      <w:pPr>
        <w:keepNext/>
        <w:keepLines/>
        <w:spacing w:after="120"/>
        <w:jc w:val="center"/>
        <w:rPr>
          <w:b/>
        </w:rPr>
      </w:pPr>
      <w:r>
        <w:rPr>
          <w:b/>
        </w:rPr>
        <w:t xml:space="preserve">BMW </w:t>
      </w:r>
      <w:r w:rsidRPr="00B4710D">
        <w:rPr>
          <w:b/>
        </w:rPr>
        <w:t>Table 1</w:t>
      </w:r>
      <w:r>
        <w:rPr>
          <w:b/>
        </w:rPr>
        <w:t xml:space="preserve"> Format</w:t>
      </w:r>
    </w:p>
    <w:p w:rsidR="00384987" w:rsidRPr="00B4710D" w:rsidRDefault="00384987" w:rsidP="00B4710D">
      <w:pPr>
        <w:keepNext/>
        <w:keepLines/>
        <w:spacing w:after="120"/>
        <w:jc w:val="center"/>
        <w:rPr>
          <w:b/>
        </w:rPr>
      </w:pPr>
      <w:r w:rsidRPr="00384987">
        <w:rPr>
          <w:b/>
        </w:rPr>
        <w:t>SoCalGas Active Meters (annual averages)</w:t>
      </w:r>
    </w:p>
    <w:tbl>
      <w:tblPr>
        <w:tblW w:w="10490" w:type="dxa"/>
        <w:jc w:val="right"/>
        <w:tblLayout w:type="fixed"/>
        <w:tblLook w:val="0000" w:firstRow="0" w:lastRow="0" w:firstColumn="0" w:lastColumn="0" w:noHBand="0" w:noVBand="0"/>
      </w:tblPr>
      <w:tblGrid>
        <w:gridCol w:w="1498"/>
        <w:gridCol w:w="1498"/>
        <w:gridCol w:w="1498"/>
        <w:gridCol w:w="1499"/>
        <w:gridCol w:w="1499"/>
        <w:gridCol w:w="1499"/>
        <w:gridCol w:w="1378"/>
        <w:gridCol w:w="121"/>
      </w:tblGrid>
      <w:tr w:rsidR="00A7384E" w:rsidRPr="00A7384E" w:rsidTr="00274F7C">
        <w:trPr>
          <w:gridAfter w:val="1"/>
          <w:wAfter w:w="121" w:type="dxa"/>
          <w:trHeight w:val="510"/>
          <w:jc w:val="right"/>
        </w:trPr>
        <w:tc>
          <w:tcPr>
            <w:tcW w:w="1498" w:type="dxa"/>
            <w:tcBorders>
              <w:top w:val="single" w:sz="8" w:space="0" w:color="auto"/>
              <w:left w:val="nil"/>
              <w:bottom w:val="single" w:sz="4" w:space="0" w:color="auto"/>
              <w:right w:val="nil"/>
            </w:tcBorders>
            <w:shd w:val="clear" w:color="auto" w:fill="auto"/>
            <w:noWrap/>
            <w:vAlign w:val="bottom"/>
          </w:tcPr>
          <w:p w:rsidR="00A7384E" w:rsidRPr="00A7384E" w:rsidRDefault="00A7384E" w:rsidP="00A7384E">
            <w:pPr>
              <w:keepNext/>
              <w:keepLines/>
              <w:suppressLineNumbers/>
              <w:jc w:val="center"/>
              <w:rPr>
                <w:rFonts w:ascii="Arial" w:hAnsi="Arial" w:cs="Arial"/>
                <w:sz w:val="20"/>
                <w:szCs w:val="20"/>
              </w:rPr>
            </w:pPr>
          </w:p>
        </w:tc>
        <w:tc>
          <w:tcPr>
            <w:tcW w:w="1498" w:type="dxa"/>
            <w:tcBorders>
              <w:top w:val="single" w:sz="8" w:space="0" w:color="auto"/>
              <w:left w:val="nil"/>
              <w:bottom w:val="single" w:sz="4" w:space="0" w:color="auto"/>
              <w:right w:val="nil"/>
            </w:tcBorders>
            <w:shd w:val="clear" w:color="auto" w:fill="auto"/>
            <w:vAlign w:val="bottom"/>
          </w:tcPr>
          <w:p w:rsidR="00A7384E" w:rsidRPr="00A7384E" w:rsidRDefault="00A7384E" w:rsidP="00A7384E">
            <w:pPr>
              <w:keepNext/>
              <w:keepLines/>
              <w:suppressLineNumbers/>
              <w:jc w:val="center"/>
              <w:rPr>
                <w:rFonts w:ascii="Arial" w:hAnsi="Arial" w:cs="Arial"/>
                <w:sz w:val="20"/>
                <w:szCs w:val="20"/>
              </w:rPr>
            </w:pPr>
          </w:p>
        </w:tc>
        <w:tc>
          <w:tcPr>
            <w:tcW w:w="1498" w:type="dxa"/>
            <w:tcBorders>
              <w:top w:val="single" w:sz="8" w:space="0" w:color="auto"/>
              <w:left w:val="nil"/>
              <w:bottom w:val="single" w:sz="4" w:space="0" w:color="auto"/>
              <w:right w:val="nil"/>
            </w:tcBorders>
            <w:vAlign w:val="bottom"/>
          </w:tcPr>
          <w:p w:rsidR="00A7384E" w:rsidRPr="00A7384E" w:rsidRDefault="00A7384E" w:rsidP="00A7384E">
            <w:pPr>
              <w:keepNext/>
              <w:keepLines/>
              <w:suppressLineNumbers/>
              <w:jc w:val="right"/>
              <w:rPr>
                <w:rFonts w:ascii="Arial" w:hAnsi="Arial" w:cs="Arial"/>
                <w:b/>
                <w:bCs/>
                <w:sz w:val="20"/>
                <w:szCs w:val="20"/>
              </w:rPr>
            </w:pPr>
            <w:r w:rsidRPr="00A7384E">
              <w:rPr>
                <w:rFonts w:ascii="Arial" w:hAnsi="Arial" w:cs="Arial"/>
                <w:b/>
                <w:bCs/>
                <w:sz w:val="20"/>
                <w:szCs w:val="20"/>
              </w:rPr>
              <w:t>201</w:t>
            </w:r>
            <w:r w:rsidR="00274F7C">
              <w:rPr>
                <w:rFonts w:ascii="Arial" w:hAnsi="Arial" w:cs="Arial"/>
                <w:b/>
                <w:bCs/>
                <w:sz w:val="20"/>
                <w:szCs w:val="20"/>
              </w:rPr>
              <w:t>0</w:t>
            </w:r>
          </w:p>
        </w:tc>
        <w:tc>
          <w:tcPr>
            <w:tcW w:w="1499" w:type="dxa"/>
            <w:tcBorders>
              <w:top w:val="single" w:sz="8" w:space="0" w:color="auto"/>
              <w:left w:val="nil"/>
              <w:bottom w:val="single" w:sz="4" w:space="0" w:color="auto"/>
              <w:right w:val="nil"/>
            </w:tcBorders>
            <w:shd w:val="clear" w:color="auto" w:fill="auto"/>
            <w:vAlign w:val="bottom"/>
          </w:tcPr>
          <w:p w:rsidR="00A7384E" w:rsidRPr="00A7384E" w:rsidRDefault="00A7384E" w:rsidP="00A7384E">
            <w:pPr>
              <w:keepNext/>
              <w:keepLines/>
              <w:suppressLineNumbers/>
              <w:jc w:val="right"/>
              <w:rPr>
                <w:rFonts w:ascii="Arial" w:hAnsi="Arial" w:cs="Arial"/>
                <w:b/>
                <w:bCs/>
                <w:sz w:val="20"/>
                <w:szCs w:val="20"/>
              </w:rPr>
            </w:pPr>
            <w:r w:rsidRPr="00A7384E">
              <w:rPr>
                <w:rFonts w:ascii="Arial" w:hAnsi="Arial" w:cs="Arial"/>
                <w:b/>
                <w:bCs/>
                <w:sz w:val="20"/>
                <w:szCs w:val="20"/>
              </w:rPr>
              <w:t>201</w:t>
            </w:r>
            <w:r w:rsidR="00274F7C">
              <w:rPr>
                <w:rFonts w:ascii="Arial" w:hAnsi="Arial" w:cs="Arial"/>
                <w:b/>
                <w:bCs/>
                <w:sz w:val="20"/>
                <w:szCs w:val="20"/>
              </w:rPr>
              <w:t>1</w:t>
            </w:r>
          </w:p>
        </w:tc>
        <w:tc>
          <w:tcPr>
            <w:tcW w:w="1499" w:type="dxa"/>
            <w:tcBorders>
              <w:top w:val="single" w:sz="8" w:space="0" w:color="auto"/>
              <w:left w:val="nil"/>
              <w:bottom w:val="single" w:sz="4" w:space="0" w:color="auto"/>
              <w:right w:val="nil"/>
            </w:tcBorders>
            <w:shd w:val="clear" w:color="auto" w:fill="auto"/>
            <w:vAlign w:val="bottom"/>
          </w:tcPr>
          <w:p w:rsidR="00A7384E" w:rsidRPr="00A7384E" w:rsidRDefault="00A7384E" w:rsidP="00A7384E">
            <w:pPr>
              <w:keepNext/>
              <w:keepLines/>
              <w:suppressLineNumbers/>
              <w:jc w:val="right"/>
              <w:rPr>
                <w:rFonts w:ascii="Arial" w:hAnsi="Arial" w:cs="Arial"/>
                <w:b/>
                <w:bCs/>
                <w:sz w:val="20"/>
                <w:szCs w:val="20"/>
              </w:rPr>
            </w:pPr>
            <w:r w:rsidRPr="00A7384E">
              <w:rPr>
                <w:rFonts w:ascii="Arial" w:hAnsi="Arial" w:cs="Arial"/>
                <w:b/>
                <w:bCs/>
                <w:sz w:val="20"/>
                <w:szCs w:val="20"/>
              </w:rPr>
              <w:t>201</w:t>
            </w:r>
            <w:r w:rsidR="00274F7C">
              <w:rPr>
                <w:rFonts w:ascii="Arial" w:hAnsi="Arial" w:cs="Arial"/>
                <w:b/>
                <w:bCs/>
                <w:sz w:val="20"/>
                <w:szCs w:val="20"/>
              </w:rPr>
              <w:t>2</w:t>
            </w:r>
          </w:p>
        </w:tc>
        <w:tc>
          <w:tcPr>
            <w:tcW w:w="1499" w:type="dxa"/>
            <w:tcBorders>
              <w:top w:val="single" w:sz="8" w:space="0" w:color="auto"/>
              <w:left w:val="nil"/>
              <w:bottom w:val="single" w:sz="4" w:space="0" w:color="auto"/>
              <w:right w:val="nil"/>
            </w:tcBorders>
            <w:shd w:val="clear" w:color="auto" w:fill="auto"/>
            <w:vAlign w:val="bottom"/>
          </w:tcPr>
          <w:p w:rsidR="00A7384E" w:rsidRPr="00A7384E" w:rsidRDefault="00A7384E" w:rsidP="00A7384E">
            <w:pPr>
              <w:keepNext/>
              <w:keepLines/>
              <w:suppressLineNumbers/>
              <w:jc w:val="right"/>
              <w:rPr>
                <w:rFonts w:ascii="Arial" w:hAnsi="Arial" w:cs="Arial"/>
                <w:b/>
                <w:bCs/>
                <w:sz w:val="20"/>
                <w:szCs w:val="20"/>
              </w:rPr>
            </w:pPr>
            <w:r w:rsidRPr="00A7384E">
              <w:rPr>
                <w:rFonts w:ascii="Arial" w:hAnsi="Arial" w:cs="Arial"/>
                <w:b/>
                <w:bCs/>
                <w:sz w:val="20"/>
                <w:szCs w:val="20"/>
              </w:rPr>
              <w:t>201</w:t>
            </w:r>
            <w:r w:rsidR="00274F7C">
              <w:rPr>
                <w:rFonts w:ascii="Arial" w:hAnsi="Arial" w:cs="Arial"/>
                <w:b/>
                <w:bCs/>
                <w:sz w:val="20"/>
                <w:szCs w:val="20"/>
              </w:rPr>
              <w:t>3</w:t>
            </w:r>
          </w:p>
        </w:tc>
        <w:tc>
          <w:tcPr>
            <w:tcW w:w="1378" w:type="dxa"/>
            <w:tcBorders>
              <w:top w:val="single" w:sz="8" w:space="0" w:color="auto"/>
              <w:left w:val="nil"/>
              <w:bottom w:val="single" w:sz="4" w:space="0" w:color="auto"/>
              <w:right w:val="nil"/>
            </w:tcBorders>
            <w:shd w:val="clear" w:color="auto" w:fill="auto"/>
            <w:vAlign w:val="bottom"/>
          </w:tcPr>
          <w:p w:rsidR="00A7384E" w:rsidRPr="00A7384E" w:rsidRDefault="00A7384E" w:rsidP="00A7384E">
            <w:pPr>
              <w:keepNext/>
              <w:keepLines/>
              <w:suppressLineNumbers/>
              <w:jc w:val="right"/>
              <w:rPr>
                <w:rFonts w:ascii="Arial" w:hAnsi="Arial" w:cs="Arial"/>
                <w:b/>
                <w:bCs/>
                <w:sz w:val="20"/>
                <w:szCs w:val="20"/>
              </w:rPr>
            </w:pPr>
            <w:r w:rsidRPr="007F2D7D">
              <w:rPr>
                <w:rFonts w:ascii="Arial" w:hAnsi="Arial" w:cs="Arial"/>
                <w:b/>
                <w:bCs/>
                <w:sz w:val="20"/>
                <w:szCs w:val="20"/>
              </w:rPr>
              <w:t>2014</w:t>
            </w:r>
          </w:p>
        </w:tc>
      </w:tr>
      <w:tr w:rsidR="00A7384E" w:rsidRPr="00A7384E" w:rsidTr="00274F7C">
        <w:trPr>
          <w:trHeight w:val="255"/>
          <w:jc w:val="right"/>
        </w:trPr>
        <w:tc>
          <w:tcPr>
            <w:tcW w:w="2996" w:type="dxa"/>
            <w:gridSpan w:val="2"/>
            <w:tcBorders>
              <w:top w:val="nil"/>
              <w:left w:val="nil"/>
              <w:bottom w:val="nil"/>
              <w:right w:val="nil"/>
            </w:tcBorders>
            <w:shd w:val="clear" w:color="auto" w:fill="auto"/>
            <w:noWrap/>
            <w:vAlign w:val="bottom"/>
          </w:tcPr>
          <w:p w:rsidR="00A7384E" w:rsidRPr="00A7384E" w:rsidRDefault="00A7384E" w:rsidP="00274F7C">
            <w:pPr>
              <w:keepNext/>
              <w:keepLines/>
              <w:suppressLineNumbers/>
              <w:rPr>
                <w:rFonts w:ascii="Arial" w:hAnsi="Arial" w:cs="Arial"/>
                <w:b/>
                <w:bCs/>
                <w:sz w:val="20"/>
                <w:szCs w:val="20"/>
              </w:rPr>
            </w:pPr>
            <w:r w:rsidRPr="00A7384E">
              <w:rPr>
                <w:rFonts w:ascii="Arial" w:hAnsi="Arial" w:cs="Arial"/>
                <w:b/>
                <w:bCs/>
                <w:sz w:val="20"/>
                <w:szCs w:val="20"/>
              </w:rPr>
              <w:t>Core</w:t>
            </w:r>
          </w:p>
        </w:tc>
        <w:tc>
          <w:tcPr>
            <w:tcW w:w="1498" w:type="dxa"/>
            <w:tcBorders>
              <w:top w:val="nil"/>
              <w:left w:val="nil"/>
              <w:bottom w:val="nil"/>
              <w:right w:val="nil"/>
            </w:tcBorders>
          </w:tcPr>
          <w:p w:rsidR="00A7384E" w:rsidRPr="00A7384E" w:rsidRDefault="00A7384E" w:rsidP="00A7384E">
            <w:pPr>
              <w:keepNext/>
              <w:keepLines/>
              <w:suppressLineNumbers/>
              <w:rPr>
                <w:rFonts w:ascii="Arial" w:hAnsi="Arial" w:cs="Arial"/>
                <w:sz w:val="20"/>
                <w:szCs w:val="20"/>
              </w:rPr>
            </w:pPr>
          </w:p>
        </w:tc>
        <w:tc>
          <w:tcPr>
            <w:tcW w:w="1499" w:type="dxa"/>
            <w:tcBorders>
              <w:top w:val="nil"/>
              <w:left w:val="nil"/>
              <w:bottom w:val="nil"/>
              <w:right w:val="nil"/>
            </w:tcBorders>
            <w:shd w:val="clear" w:color="auto" w:fill="auto"/>
            <w:vAlign w:val="bottom"/>
          </w:tcPr>
          <w:p w:rsidR="00A7384E" w:rsidRPr="00A7384E" w:rsidRDefault="00A7384E" w:rsidP="00A7384E">
            <w:pPr>
              <w:keepNext/>
              <w:keepLines/>
              <w:suppressLineNumbers/>
              <w:rPr>
                <w:rFonts w:ascii="Arial" w:hAnsi="Arial" w:cs="Arial"/>
                <w:sz w:val="20"/>
                <w:szCs w:val="20"/>
              </w:rPr>
            </w:pPr>
          </w:p>
        </w:tc>
        <w:tc>
          <w:tcPr>
            <w:tcW w:w="1499" w:type="dxa"/>
            <w:tcBorders>
              <w:top w:val="nil"/>
              <w:left w:val="nil"/>
              <w:bottom w:val="nil"/>
              <w:right w:val="nil"/>
            </w:tcBorders>
            <w:shd w:val="clear" w:color="auto" w:fill="auto"/>
            <w:vAlign w:val="bottom"/>
          </w:tcPr>
          <w:p w:rsidR="00A7384E" w:rsidRPr="00A7384E" w:rsidRDefault="00A7384E" w:rsidP="00A7384E">
            <w:pPr>
              <w:keepNext/>
              <w:keepLines/>
              <w:suppressLineNumbers/>
              <w:rPr>
                <w:rFonts w:ascii="Arial" w:hAnsi="Arial" w:cs="Arial"/>
                <w:sz w:val="20"/>
                <w:szCs w:val="20"/>
              </w:rPr>
            </w:pPr>
          </w:p>
        </w:tc>
        <w:tc>
          <w:tcPr>
            <w:tcW w:w="1499" w:type="dxa"/>
            <w:tcBorders>
              <w:top w:val="nil"/>
              <w:left w:val="nil"/>
              <w:bottom w:val="nil"/>
              <w:right w:val="nil"/>
            </w:tcBorders>
            <w:shd w:val="clear" w:color="auto" w:fill="auto"/>
            <w:vAlign w:val="bottom"/>
          </w:tcPr>
          <w:p w:rsidR="00A7384E" w:rsidRPr="00A7384E" w:rsidRDefault="00A7384E" w:rsidP="00A7384E">
            <w:pPr>
              <w:keepNext/>
              <w:keepLines/>
              <w:suppressLineNumbers/>
              <w:rPr>
                <w:rFonts w:ascii="Arial" w:hAnsi="Arial" w:cs="Arial"/>
                <w:sz w:val="20"/>
                <w:szCs w:val="20"/>
              </w:rPr>
            </w:pPr>
          </w:p>
        </w:tc>
        <w:tc>
          <w:tcPr>
            <w:tcW w:w="1499" w:type="dxa"/>
            <w:gridSpan w:val="2"/>
            <w:tcBorders>
              <w:top w:val="nil"/>
              <w:left w:val="nil"/>
              <w:bottom w:val="nil"/>
              <w:right w:val="nil"/>
            </w:tcBorders>
            <w:shd w:val="clear" w:color="auto" w:fill="auto"/>
            <w:vAlign w:val="bottom"/>
          </w:tcPr>
          <w:p w:rsidR="00A7384E" w:rsidRPr="00A7384E" w:rsidRDefault="00A7384E" w:rsidP="00A7384E">
            <w:pPr>
              <w:keepNext/>
              <w:keepLines/>
              <w:suppressLineNumbers/>
              <w:rPr>
                <w:rFonts w:ascii="Arial" w:hAnsi="Arial" w:cs="Arial"/>
                <w:sz w:val="20"/>
                <w:szCs w:val="20"/>
              </w:rPr>
            </w:pPr>
          </w:p>
        </w:tc>
      </w:tr>
      <w:tr w:rsidR="00BA3D3F" w:rsidRPr="00A7384E" w:rsidTr="00274F7C">
        <w:trPr>
          <w:trHeight w:val="255"/>
          <w:jc w:val="right"/>
        </w:trPr>
        <w:tc>
          <w:tcPr>
            <w:tcW w:w="1498" w:type="dxa"/>
            <w:tcBorders>
              <w:top w:val="nil"/>
              <w:left w:val="nil"/>
              <w:bottom w:val="single" w:sz="4" w:space="0" w:color="auto"/>
              <w:right w:val="nil"/>
            </w:tcBorders>
            <w:shd w:val="clear" w:color="auto" w:fill="auto"/>
            <w:noWrap/>
            <w:vAlign w:val="bottom"/>
          </w:tcPr>
          <w:p w:rsidR="00BA3D3F" w:rsidRPr="00A7384E" w:rsidRDefault="00BA3D3F" w:rsidP="00A7384E">
            <w:pPr>
              <w:keepNext/>
              <w:keepLines/>
              <w:suppressLineNumbers/>
              <w:jc w:val="center"/>
              <w:rPr>
                <w:rFonts w:ascii="Arial" w:hAnsi="Arial" w:cs="Arial"/>
                <w:b/>
                <w:bCs/>
                <w:sz w:val="20"/>
                <w:szCs w:val="20"/>
              </w:rPr>
            </w:pPr>
          </w:p>
        </w:tc>
        <w:tc>
          <w:tcPr>
            <w:tcW w:w="1498" w:type="dxa"/>
            <w:tcBorders>
              <w:top w:val="nil"/>
              <w:left w:val="nil"/>
              <w:bottom w:val="single" w:sz="4" w:space="0" w:color="auto"/>
              <w:right w:val="nil"/>
            </w:tcBorders>
            <w:shd w:val="clear" w:color="auto" w:fill="auto"/>
            <w:noWrap/>
            <w:vAlign w:val="bottom"/>
          </w:tcPr>
          <w:p w:rsidR="00BA3D3F" w:rsidRPr="00A7384E" w:rsidRDefault="00BA3D3F" w:rsidP="00A7384E">
            <w:pPr>
              <w:keepNext/>
              <w:keepLines/>
              <w:suppressLineNumbers/>
              <w:rPr>
                <w:rFonts w:ascii="Arial" w:hAnsi="Arial" w:cs="Arial"/>
                <w:b/>
                <w:bCs/>
                <w:sz w:val="20"/>
                <w:szCs w:val="20"/>
              </w:rPr>
            </w:pPr>
            <w:r w:rsidRPr="00A7384E">
              <w:rPr>
                <w:rFonts w:ascii="Arial" w:hAnsi="Arial" w:cs="Arial"/>
                <w:b/>
                <w:bCs/>
                <w:sz w:val="20"/>
                <w:szCs w:val="20"/>
              </w:rPr>
              <w:t>Total Core</w:t>
            </w:r>
          </w:p>
        </w:tc>
        <w:tc>
          <w:tcPr>
            <w:tcW w:w="1498" w:type="dxa"/>
            <w:tcBorders>
              <w:top w:val="nil"/>
              <w:left w:val="nil"/>
              <w:bottom w:val="single" w:sz="4" w:space="0" w:color="auto"/>
              <w:right w:val="nil"/>
            </w:tcBorders>
          </w:tcPr>
          <w:p w:rsidR="00BA3D3F" w:rsidRPr="002B385F" w:rsidRDefault="00BA3D3F" w:rsidP="00BA3D3F">
            <w:pPr>
              <w:jc w:val="right"/>
            </w:pPr>
            <w:r w:rsidRPr="002B385F">
              <w:t>5,516,114</w:t>
            </w:r>
          </w:p>
        </w:tc>
        <w:tc>
          <w:tcPr>
            <w:tcW w:w="1499" w:type="dxa"/>
            <w:tcBorders>
              <w:top w:val="nil"/>
              <w:left w:val="nil"/>
              <w:bottom w:val="single" w:sz="4" w:space="0" w:color="auto"/>
              <w:right w:val="nil"/>
            </w:tcBorders>
            <w:shd w:val="clear" w:color="auto" w:fill="auto"/>
          </w:tcPr>
          <w:p w:rsidR="00BA3D3F" w:rsidRPr="002B385F" w:rsidRDefault="00BA3D3F" w:rsidP="00BA3D3F">
            <w:pPr>
              <w:jc w:val="right"/>
            </w:pPr>
            <w:r w:rsidRPr="002B385F">
              <w:t>5,548,639</w:t>
            </w:r>
          </w:p>
        </w:tc>
        <w:tc>
          <w:tcPr>
            <w:tcW w:w="1499" w:type="dxa"/>
            <w:tcBorders>
              <w:top w:val="nil"/>
              <w:left w:val="nil"/>
              <w:bottom w:val="single" w:sz="4" w:space="0" w:color="auto"/>
              <w:right w:val="nil"/>
            </w:tcBorders>
            <w:shd w:val="clear" w:color="auto" w:fill="auto"/>
          </w:tcPr>
          <w:p w:rsidR="00BA3D3F" w:rsidRPr="002B385F" w:rsidRDefault="00BA3D3F" w:rsidP="00BA3D3F">
            <w:pPr>
              <w:jc w:val="right"/>
            </w:pPr>
            <w:r w:rsidRPr="002B385F">
              <w:t>5,575,834</w:t>
            </w:r>
          </w:p>
        </w:tc>
        <w:tc>
          <w:tcPr>
            <w:tcW w:w="1499" w:type="dxa"/>
            <w:tcBorders>
              <w:top w:val="nil"/>
              <w:left w:val="nil"/>
              <w:bottom w:val="single" w:sz="4" w:space="0" w:color="auto"/>
              <w:right w:val="nil"/>
            </w:tcBorders>
            <w:shd w:val="clear" w:color="auto" w:fill="auto"/>
          </w:tcPr>
          <w:p w:rsidR="00BA3D3F" w:rsidRPr="002B385F" w:rsidRDefault="00BA3D3F" w:rsidP="00BA3D3F">
            <w:pPr>
              <w:jc w:val="right"/>
            </w:pPr>
            <w:r w:rsidRPr="002B385F">
              <w:t>5,605,597</w:t>
            </w:r>
          </w:p>
        </w:tc>
        <w:tc>
          <w:tcPr>
            <w:tcW w:w="1499" w:type="dxa"/>
            <w:gridSpan w:val="2"/>
            <w:tcBorders>
              <w:top w:val="nil"/>
              <w:left w:val="nil"/>
              <w:bottom w:val="single" w:sz="4" w:space="0" w:color="auto"/>
              <w:right w:val="nil"/>
            </w:tcBorders>
            <w:shd w:val="clear" w:color="auto" w:fill="auto"/>
          </w:tcPr>
          <w:p w:rsidR="00BA3D3F" w:rsidRDefault="00BA3D3F" w:rsidP="00BA3D3F">
            <w:pPr>
              <w:jc w:val="right"/>
            </w:pPr>
            <w:r w:rsidRPr="002B385F">
              <w:t>5,638,148</w:t>
            </w:r>
          </w:p>
        </w:tc>
      </w:tr>
      <w:tr w:rsidR="00A7384E" w:rsidRPr="00A7384E" w:rsidTr="00274F7C">
        <w:trPr>
          <w:trHeight w:val="255"/>
          <w:jc w:val="right"/>
        </w:trPr>
        <w:tc>
          <w:tcPr>
            <w:tcW w:w="2996" w:type="dxa"/>
            <w:gridSpan w:val="2"/>
            <w:tcBorders>
              <w:top w:val="single" w:sz="4" w:space="0" w:color="auto"/>
              <w:left w:val="nil"/>
              <w:bottom w:val="nil"/>
              <w:right w:val="nil"/>
            </w:tcBorders>
            <w:shd w:val="clear" w:color="auto" w:fill="auto"/>
            <w:noWrap/>
            <w:vAlign w:val="bottom"/>
          </w:tcPr>
          <w:p w:rsidR="00A7384E" w:rsidRPr="00A7384E" w:rsidRDefault="00A7384E" w:rsidP="00274F7C">
            <w:pPr>
              <w:keepNext/>
              <w:keepLines/>
              <w:suppressLineNumbers/>
              <w:rPr>
                <w:rFonts w:ascii="Arial" w:hAnsi="Arial" w:cs="Arial"/>
                <w:b/>
                <w:bCs/>
                <w:sz w:val="20"/>
                <w:szCs w:val="20"/>
              </w:rPr>
            </w:pPr>
            <w:r w:rsidRPr="00A7384E">
              <w:rPr>
                <w:rFonts w:ascii="Arial" w:hAnsi="Arial" w:cs="Arial"/>
                <w:b/>
                <w:bCs/>
                <w:sz w:val="20"/>
                <w:szCs w:val="20"/>
              </w:rPr>
              <w:t>Noncore</w:t>
            </w:r>
          </w:p>
        </w:tc>
        <w:tc>
          <w:tcPr>
            <w:tcW w:w="1498" w:type="dxa"/>
            <w:tcBorders>
              <w:top w:val="single" w:sz="4" w:space="0" w:color="auto"/>
              <w:left w:val="nil"/>
              <w:bottom w:val="nil"/>
              <w:right w:val="nil"/>
            </w:tcBorders>
          </w:tcPr>
          <w:p w:rsidR="00A7384E" w:rsidRPr="00A7384E" w:rsidRDefault="00A7384E" w:rsidP="00A7384E">
            <w:pPr>
              <w:keepNext/>
              <w:keepLines/>
              <w:suppressLineNumbers/>
              <w:jc w:val="center"/>
              <w:rPr>
                <w:rFonts w:ascii="Arial" w:hAnsi="Arial" w:cs="Arial"/>
                <w:color w:val="000000"/>
                <w:sz w:val="20"/>
                <w:szCs w:val="20"/>
              </w:rPr>
            </w:pPr>
          </w:p>
        </w:tc>
        <w:tc>
          <w:tcPr>
            <w:tcW w:w="1499" w:type="dxa"/>
            <w:tcBorders>
              <w:top w:val="single" w:sz="4" w:space="0" w:color="auto"/>
              <w:left w:val="nil"/>
              <w:bottom w:val="nil"/>
              <w:right w:val="nil"/>
            </w:tcBorders>
            <w:shd w:val="clear" w:color="auto" w:fill="auto"/>
            <w:vAlign w:val="bottom"/>
          </w:tcPr>
          <w:p w:rsidR="00A7384E" w:rsidRPr="00A7384E" w:rsidRDefault="00A7384E" w:rsidP="00A7384E">
            <w:pPr>
              <w:keepNext/>
              <w:keepLines/>
              <w:suppressLineNumbers/>
              <w:jc w:val="right"/>
              <w:rPr>
                <w:rFonts w:ascii="Arial" w:hAnsi="Arial" w:cs="Arial"/>
                <w:color w:val="000000"/>
                <w:sz w:val="20"/>
                <w:szCs w:val="20"/>
              </w:rPr>
            </w:pPr>
          </w:p>
        </w:tc>
        <w:tc>
          <w:tcPr>
            <w:tcW w:w="1499" w:type="dxa"/>
            <w:tcBorders>
              <w:top w:val="single" w:sz="4" w:space="0" w:color="auto"/>
              <w:left w:val="nil"/>
              <w:bottom w:val="nil"/>
              <w:right w:val="nil"/>
            </w:tcBorders>
            <w:shd w:val="clear" w:color="auto" w:fill="auto"/>
          </w:tcPr>
          <w:p w:rsidR="00A7384E" w:rsidRPr="00A7384E" w:rsidRDefault="00A7384E" w:rsidP="00A7384E">
            <w:pPr>
              <w:keepNext/>
              <w:keepLines/>
              <w:suppressLineNumbers/>
              <w:jc w:val="right"/>
              <w:rPr>
                <w:rFonts w:ascii="Arial" w:hAnsi="Arial"/>
                <w:sz w:val="20"/>
              </w:rPr>
            </w:pPr>
          </w:p>
        </w:tc>
        <w:tc>
          <w:tcPr>
            <w:tcW w:w="1499" w:type="dxa"/>
            <w:tcBorders>
              <w:top w:val="single" w:sz="4" w:space="0" w:color="auto"/>
              <w:left w:val="nil"/>
              <w:bottom w:val="nil"/>
              <w:right w:val="nil"/>
            </w:tcBorders>
            <w:shd w:val="clear" w:color="auto" w:fill="auto"/>
          </w:tcPr>
          <w:p w:rsidR="00A7384E" w:rsidRPr="00A7384E" w:rsidRDefault="00A7384E" w:rsidP="00A7384E">
            <w:pPr>
              <w:keepNext/>
              <w:keepLines/>
              <w:suppressLineNumbers/>
              <w:jc w:val="right"/>
              <w:rPr>
                <w:rFonts w:ascii="Arial" w:hAnsi="Arial"/>
                <w:sz w:val="20"/>
              </w:rPr>
            </w:pPr>
          </w:p>
        </w:tc>
        <w:tc>
          <w:tcPr>
            <w:tcW w:w="1499" w:type="dxa"/>
            <w:gridSpan w:val="2"/>
            <w:tcBorders>
              <w:top w:val="single" w:sz="4" w:space="0" w:color="auto"/>
              <w:left w:val="nil"/>
              <w:bottom w:val="nil"/>
              <w:right w:val="nil"/>
            </w:tcBorders>
            <w:shd w:val="clear" w:color="auto" w:fill="auto"/>
          </w:tcPr>
          <w:p w:rsidR="00A7384E" w:rsidRPr="00A7384E" w:rsidRDefault="00A7384E" w:rsidP="00A7384E">
            <w:pPr>
              <w:keepNext/>
              <w:keepLines/>
              <w:suppressLineNumbers/>
              <w:jc w:val="right"/>
              <w:rPr>
                <w:rFonts w:ascii="Arial" w:hAnsi="Arial"/>
                <w:sz w:val="20"/>
              </w:rPr>
            </w:pPr>
          </w:p>
        </w:tc>
      </w:tr>
      <w:tr w:rsidR="00BA3D3F" w:rsidRPr="00A7384E" w:rsidTr="00274F7C">
        <w:trPr>
          <w:trHeight w:val="255"/>
          <w:jc w:val="right"/>
        </w:trPr>
        <w:tc>
          <w:tcPr>
            <w:tcW w:w="1498" w:type="dxa"/>
            <w:tcBorders>
              <w:top w:val="nil"/>
              <w:left w:val="nil"/>
              <w:bottom w:val="nil"/>
              <w:right w:val="nil"/>
            </w:tcBorders>
            <w:shd w:val="clear" w:color="auto" w:fill="auto"/>
            <w:noWrap/>
            <w:vAlign w:val="bottom"/>
          </w:tcPr>
          <w:p w:rsidR="00BA3D3F" w:rsidRPr="00A7384E" w:rsidRDefault="00BA3D3F" w:rsidP="00A7384E">
            <w:pPr>
              <w:keepNext/>
              <w:keepLines/>
              <w:suppressLineNumbers/>
              <w:jc w:val="center"/>
              <w:rPr>
                <w:rFonts w:ascii="Arial" w:hAnsi="Arial" w:cs="Arial"/>
                <w:sz w:val="20"/>
                <w:szCs w:val="20"/>
              </w:rPr>
            </w:pPr>
          </w:p>
        </w:tc>
        <w:tc>
          <w:tcPr>
            <w:tcW w:w="1498" w:type="dxa"/>
            <w:tcBorders>
              <w:top w:val="nil"/>
              <w:left w:val="nil"/>
              <w:bottom w:val="nil"/>
              <w:right w:val="nil"/>
            </w:tcBorders>
            <w:shd w:val="clear" w:color="auto" w:fill="auto"/>
            <w:vAlign w:val="bottom"/>
          </w:tcPr>
          <w:p w:rsidR="00BA3D3F" w:rsidRPr="00A7384E" w:rsidRDefault="00BA3D3F" w:rsidP="00A7384E">
            <w:pPr>
              <w:keepNext/>
              <w:keepLines/>
              <w:suppressLineNumbers/>
              <w:rPr>
                <w:rFonts w:ascii="Arial" w:hAnsi="Arial" w:cs="Arial"/>
                <w:sz w:val="20"/>
                <w:szCs w:val="20"/>
              </w:rPr>
            </w:pPr>
            <w:r w:rsidRPr="00A7384E">
              <w:rPr>
                <w:rFonts w:ascii="Arial" w:hAnsi="Arial" w:cs="Arial"/>
                <w:sz w:val="20"/>
                <w:szCs w:val="20"/>
              </w:rPr>
              <w:t>Noncore C&amp;I</w:t>
            </w:r>
          </w:p>
        </w:tc>
        <w:tc>
          <w:tcPr>
            <w:tcW w:w="1498" w:type="dxa"/>
            <w:tcBorders>
              <w:top w:val="nil"/>
              <w:left w:val="nil"/>
              <w:bottom w:val="nil"/>
              <w:right w:val="nil"/>
            </w:tcBorders>
          </w:tcPr>
          <w:p w:rsidR="00BA3D3F" w:rsidRPr="0022174E" w:rsidRDefault="00BA3D3F" w:rsidP="00BA3D3F">
            <w:pPr>
              <w:jc w:val="right"/>
            </w:pPr>
            <w:r w:rsidRPr="0022174E">
              <w:t>637</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629</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633</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618</w:t>
            </w:r>
          </w:p>
        </w:tc>
        <w:tc>
          <w:tcPr>
            <w:tcW w:w="1499" w:type="dxa"/>
            <w:gridSpan w:val="2"/>
            <w:tcBorders>
              <w:top w:val="nil"/>
              <w:left w:val="nil"/>
              <w:bottom w:val="nil"/>
              <w:right w:val="nil"/>
            </w:tcBorders>
            <w:shd w:val="clear" w:color="auto" w:fill="auto"/>
          </w:tcPr>
          <w:p w:rsidR="00BA3D3F" w:rsidRPr="0022174E" w:rsidRDefault="00BA3D3F" w:rsidP="00BA3D3F">
            <w:pPr>
              <w:jc w:val="right"/>
            </w:pPr>
            <w:r w:rsidRPr="0022174E">
              <w:t>606</w:t>
            </w:r>
          </w:p>
        </w:tc>
      </w:tr>
      <w:tr w:rsidR="00BA3D3F" w:rsidRPr="00A7384E" w:rsidTr="00274F7C">
        <w:trPr>
          <w:trHeight w:hRule="exact" w:val="255"/>
          <w:jc w:val="right"/>
        </w:trPr>
        <w:tc>
          <w:tcPr>
            <w:tcW w:w="1498" w:type="dxa"/>
            <w:tcBorders>
              <w:top w:val="nil"/>
              <w:left w:val="nil"/>
              <w:bottom w:val="nil"/>
              <w:right w:val="nil"/>
            </w:tcBorders>
            <w:shd w:val="clear" w:color="auto" w:fill="auto"/>
            <w:noWrap/>
            <w:vAlign w:val="bottom"/>
          </w:tcPr>
          <w:p w:rsidR="00BA3D3F" w:rsidRPr="00A7384E" w:rsidRDefault="00BA3D3F" w:rsidP="00A7384E">
            <w:pPr>
              <w:keepNext/>
              <w:keepLines/>
              <w:suppressLineNumbers/>
              <w:jc w:val="center"/>
              <w:rPr>
                <w:rFonts w:ascii="Arial" w:hAnsi="Arial" w:cs="Arial"/>
                <w:sz w:val="20"/>
                <w:szCs w:val="20"/>
              </w:rPr>
            </w:pPr>
          </w:p>
        </w:tc>
        <w:tc>
          <w:tcPr>
            <w:tcW w:w="1498" w:type="dxa"/>
            <w:tcBorders>
              <w:top w:val="nil"/>
              <w:left w:val="nil"/>
              <w:bottom w:val="nil"/>
              <w:right w:val="nil"/>
            </w:tcBorders>
            <w:shd w:val="clear" w:color="auto" w:fill="auto"/>
            <w:vAlign w:val="bottom"/>
          </w:tcPr>
          <w:p w:rsidR="00BA3D3F" w:rsidRPr="00A7384E" w:rsidRDefault="00BA3D3F" w:rsidP="00A7384E">
            <w:pPr>
              <w:keepNext/>
              <w:keepLines/>
              <w:suppressLineNumbers/>
              <w:rPr>
                <w:rFonts w:ascii="Arial" w:hAnsi="Arial" w:cs="Arial"/>
                <w:sz w:val="20"/>
                <w:szCs w:val="20"/>
              </w:rPr>
            </w:pPr>
            <w:r w:rsidRPr="00A7384E">
              <w:rPr>
                <w:rFonts w:ascii="Arial" w:hAnsi="Arial" w:cs="Arial"/>
                <w:sz w:val="20"/>
                <w:szCs w:val="20"/>
              </w:rPr>
              <w:t>Electric Generation</w:t>
            </w:r>
          </w:p>
        </w:tc>
        <w:tc>
          <w:tcPr>
            <w:tcW w:w="1498" w:type="dxa"/>
            <w:tcBorders>
              <w:top w:val="nil"/>
              <w:left w:val="nil"/>
              <w:bottom w:val="nil"/>
              <w:right w:val="nil"/>
            </w:tcBorders>
          </w:tcPr>
          <w:p w:rsidR="00BA3D3F" w:rsidRPr="0022174E" w:rsidRDefault="00BA3D3F" w:rsidP="00BA3D3F">
            <w:pPr>
              <w:jc w:val="right"/>
            </w:pPr>
            <w:r w:rsidRPr="0022174E">
              <w:t>197</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233</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255</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281</w:t>
            </w:r>
          </w:p>
        </w:tc>
        <w:tc>
          <w:tcPr>
            <w:tcW w:w="1499" w:type="dxa"/>
            <w:gridSpan w:val="2"/>
            <w:tcBorders>
              <w:top w:val="nil"/>
              <w:left w:val="nil"/>
              <w:bottom w:val="nil"/>
              <w:right w:val="nil"/>
            </w:tcBorders>
            <w:shd w:val="clear" w:color="auto" w:fill="auto"/>
          </w:tcPr>
          <w:p w:rsidR="00BA3D3F" w:rsidRPr="0022174E" w:rsidRDefault="00BA3D3F" w:rsidP="00BA3D3F">
            <w:pPr>
              <w:jc w:val="right"/>
            </w:pPr>
            <w:r w:rsidRPr="0022174E">
              <w:t>282</w:t>
            </w:r>
          </w:p>
        </w:tc>
      </w:tr>
      <w:tr w:rsidR="00BA3D3F" w:rsidRPr="00A7384E" w:rsidTr="00274F7C">
        <w:trPr>
          <w:trHeight w:hRule="exact" w:val="255"/>
          <w:jc w:val="right"/>
        </w:trPr>
        <w:tc>
          <w:tcPr>
            <w:tcW w:w="1498" w:type="dxa"/>
            <w:tcBorders>
              <w:top w:val="nil"/>
              <w:left w:val="nil"/>
              <w:bottom w:val="nil"/>
              <w:right w:val="nil"/>
            </w:tcBorders>
            <w:shd w:val="clear" w:color="auto" w:fill="auto"/>
            <w:noWrap/>
            <w:vAlign w:val="bottom"/>
          </w:tcPr>
          <w:p w:rsidR="00BA3D3F" w:rsidRPr="00A7384E" w:rsidRDefault="00BA3D3F" w:rsidP="00A7384E">
            <w:pPr>
              <w:keepNext/>
              <w:keepLines/>
              <w:suppressLineNumbers/>
              <w:jc w:val="center"/>
              <w:rPr>
                <w:rFonts w:ascii="Arial" w:hAnsi="Arial" w:cs="Arial"/>
                <w:sz w:val="20"/>
                <w:szCs w:val="20"/>
              </w:rPr>
            </w:pPr>
          </w:p>
        </w:tc>
        <w:tc>
          <w:tcPr>
            <w:tcW w:w="1498" w:type="dxa"/>
            <w:tcBorders>
              <w:top w:val="nil"/>
              <w:left w:val="nil"/>
              <w:bottom w:val="nil"/>
              <w:right w:val="nil"/>
            </w:tcBorders>
            <w:shd w:val="clear" w:color="auto" w:fill="auto"/>
            <w:vAlign w:val="bottom"/>
          </w:tcPr>
          <w:p w:rsidR="00BA3D3F" w:rsidRPr="00A7384E" w:rsidRDefault="00BA3D3F" w:rsidP="00A7384E">
            <w:pPr>
              <w:keepNext/>
              <w:keepLines/>
              <w:suppressLineNumbers/>
              <w:rPr>
                <w:rFonts w:ascii="Arial" w:hAnsi="Arial" w:cs="Arial"/>
                <w:sz w:val="20"/>
                <w:szCs w:val="20"/>
              </w:rPr>
            </w:pPr>
            <w:r w:rsidRPr="00A7384E">
              <w:rPr>
                <w:rFonts w:ascii="Arial" w:hAnsi="Arial" w:cs="Arial"/>
                <w:sz w:val="20"/>
                <w:szCs w:val="20"/>
              </w:rPr>
              <w:t>EOR</w:t>
            </w:r>
            <w:r w:rsidR="0011569D">
              <w:rPr>
                <w:rFonts w:ascii="Arial" w:hAnsi="Arial" w:cs="Arial"/>
                <w:sz w:val="20"/>
                <w:szCs w:val="20"/>
              </w:rPr>
              <w:t xml:space="preserve"> </w:t>
            </w:r>
            <w:r w:rsidR="0011569D" w:rsidRPr="0034005F">
              <w:rPr>
                <w:rFonts w:ascii="Arial" w:hAnsi="Arial" w:cs="Arial"/>
                <w:sz w:val="20"/>
                <w:szCs w:val="20"/>
                <w:vertAlign w:val="superscript"/>
              </w:rPr>
              <w:t>1/</w:t>
            </w:r>
          </w:p>
        </w:tc>
        <w:tc>
          <w:tcPr>
            <w:tcW w:w="1498" w:type="dxa"/>
            <w:tcBorders>
              <w:top w:val="nil"/>
              <w:left w:val="nil"/>
              <w:bottom w:val="nil"/>
              <w:right w:val="nil"/>
            </w:tcBorders>
          </w:tcPr>
          <w:p w:rsidR="00BA3D3F" w:rsidRPr="0022174E" w:rsidRDefault="00BA3D3F" w:rsidP="00BA3D3F">
            <w:pPr>
              <w:jc w:val="right"/>
            </w:pPr>
            <w:r w:rsidRPr="0022174E">
              <w:t>31</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32</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34</w:t>
            </w:r>
          </w:p>
        </w:tc>
        <w:tc>
          <w:tcPr>
            <w:tcW w:w="1499" w:type="dxa"/>
            <w:tcBorders>
              <w:top w:val="nil"/>
              <w:left w:val="nil"/>
              <w:bottom w:val="nil"/>
              <w:right w:val="nil"/>
            </w:tcBorders>
            <w:shd w:val="clear" w:color="auto" w:fill="auto"/>
          </w:tcPr>
          <w:p w:rsidR="00BA3D3F" w:rsidRPr="0022174E" w:rsidRDefault="00BA3D3F" w:rsidP="00BA3D3F">
            <w:pPr>
              <w:jc w:val="right"/>
            </w:pPr>
            <w:r w:rsidRPr="0022174E">
              <w:t>34</w:t>
            </w:r>
          </w:p>
        </w:tc>
        <w:tc>
          <w:tcPr>
            <w:tcW w:w="1499" w:type="dxa"/>
            <w:gridSpan w:val="2"/>
            <w:tcBorders>
              <w:top w:val="nil"/>
              <w:left w:val="nil"/>
              <w:bottom w:val="nil"/>
              <w:right w:val="nil"/>
            </w:tcBorders>
            <w:shd w:val="clear" w:color="auto" w:fill="auto"/>
          </w:tcPr>
          <w:p w:rsidR="00BA3D3F" w:rsidRDefault="00BA3D3F" w:rsidP="00BA3D3F">
            <w:pPr>
              <w:jc w:val="right"/>
            </w:pPr>
            <w:r w:rsidRPr="0022174E">
              <w:t>33</w:t>
            </w:r>
          </w:p>
        </w:tc>
      </w:tr>
      <w:tr w:rsidR="00BA3D3F" w:rsidRPr="00A7384E" w:rsidTr="00BA3D3F">
        <w:trPr>
          <w:trHeight w:val="255"/>
          <w:jc w:val="right"/>
        </w:trPr>
        <w:tc>
          <w:tcPr>
            <w:tcW w:w="1498" w:type="dxa"/>
            <w:tcBorders>
              <w:top w:val="nil"/>
              <w:left w:val="nil"/>
              <w:bottom w:val="single" w:sz="4" w:space="0" w:color="auto"/>
              <w:right w:val="nil"/>
            </w:tcBorders>
            <w:shd w:val="clear" w:color="auto" w:fill="auto"/>
            <w:noWrap/>
            <w:vAlign w:val="bottom"/>
          </w:tcPr>
          <w:p w:rsidR="00BA3D3F" w:rsidRPr="00A7384E" w:rsidRDefault="00BA3D3F" w:rsidP="00A7384E">
            <w:pPr>
              <w:keepNext/>
              <w:keepLines/>
              <w:suppressLineNumbers/>
              <w:jc w:val="center"/>
              <w:rPr>
                <w:rFonts w:ascii="Arial" w:hAnsi="Arial" w:cs="Arial"/>
                <w:b/>
                <w:bCs/>
                <w:sz w:val="20"/>
                <w:szCs w:val="20"/>
              </w:rPr>
            </w:pPr>
          </w:p>
        </w:tc>
        <w:tc>
          <w:tcPr>
            <w:tcW w:w="1498" w:type="dxa"/>
            <w:tcBorders>
              <w:top w:val="nil"/>
              <w:left w:val="nil"/>
              <w:bottom w:val="single" w:sz="4" w:space="0" w:color="auto"/>
              <w:right w:val="nil"/>
            </w:tcBorders>
            <w:shd w:val="clear" w:color="auto" w:fill="auto"/>
            <w:noWrap/>
            <w:vAlign w:val="bottom"/>
          </w:tcPr>
          <w:p w:rsidR="00BA3D3F" w:rsidRPr="00A7384E" w:rsidRDefault="00BA3D3F" w:rsidP="00274F7C">
            <w:pPr>
              <w:keepNext/>
              <w:keepLines/>
              <w:suppressLineNumbers/>
              <w:rPr>
                <w:rFonts w:ascii="Arial" w:hAnsi="Arial" w:cs="Arial"/>
                <w:b/>
                <w:bCs/>
                <w:sz w:val="20"/>
                <w:szCs w:val="20"/>
              </w:rPr>
            </w:pPr>
            <w:r w:rsidRPr="00A7384E">
              <w:rPr>
                <w:rFonts w:ascii="Arial" w:hAnsi="Arial" w:cs="Arial"/>
                <w:b/>
                <w:bCs/>
                <w:sz w:val="20"/>
                <w:szCs w:val="20"/>
              </w:rPr>
              <w:t>Total Retail Noncore</w:t>
            </w:r>
          </w:p>
        </w:tc>
        <w:tc>
          <w:tcPr>
            <w:tcW w:w="1498" w:type="dxa"/>
            <w:tcBorders>
              <w:top w:val="nil"/>
              <w:left w:val="nil"/>
              <w:bottom w:val="single" w:sz="4" w:space="0" w:color="auto"/>
              <w:right w:val="nil"/>
            </w:tcBorders>
            <w:vAlign w:val="bottom"/>
          </w:tcPr>
          <w:p w:rsidR="00BA3D3F" w:rsidRPr="00311C66" w:rsidRDefault="00BA3D3F" w:rsidP="00BA3D3F">
            <w:pPr>
              <w:jc w:val="right"/>
            </w:pPr>
            <w:r w:rsidRPr="00311C66">
              <w:t>865</w:t>
            </w:r>
          </w:p>
        </w:tc>
        <w:tc>
          <w:tcPr>
            <w:tcW w:w="1499" w:type="dxa"/>
            <w:tcBorders>
              <w:top w:val="nil"/>
              <w:left w:val="nil"/>
              <w:bottom w:val="single" w:sz="4" w:space="0" w:color="auto"/>
              <w:right w:val="nil"/>
            </w:tcBorders>
            <w:shd w:val="clear" w:color="auto" w:fill="auto"/>
            <w:vAlign w:val="bottom"/>
          </w:tcPr>
          <w:p w:rsidR="00BA3D3F" w:rsidRPr="00311C66" w:rsidRDefault="00BA3D3F" w:rsidP="00BA3D3F">
            <w:pPr>
              <w:jc w:val="right"/>
            </w:pPr>
            <w:r w:rsidRPr="00311C66">
              <w:t>894</w:t>
            </w:r>
          </w:p>
        </w:tc>
        <w:tc>
          <w:tcPr>
            <w:tcW w:w="1499" w:type="dxa"/>
            <w:tcBorders>
              <w:top w:val="nil"/>
              <w:left w:val="nil"/>
              <w:bottom w:val="single" w:sz="4" w:space="0" w:color="auto"/>
              <w:right w:val="nil"/>
            </w:tcBorders>
            <w:shd w:val="clear" w:color="auto" w:fill="auto"/>
            <w:vAlign w:val="bottom"/>
          </w:tcPr>
          <w:p w:rsidR="00BA3D3F" w:rsidRPr="00311C66" w:rsidRDefault="00BA3D3F" w:rsidP="00BA3D3F">
            <w:pPr>
              <w:jc w:val="right"/>
            </w:pPr>
            <w:r w:rsidRPr="00311C66">
              <w:t>922</w:t>
            </w:r>
          </w:p>
        </w:tc>
        <w:tc>
          <w:tcPr>
            <w:tcW w:w="1499" w:type="dxa"/>
            <w:tcBorders>
              <w:top w:val="nil"/>
              <w:left w:val="nil"/>
              <w:bottom w:val="single" w:sz="4" w:space="0" w:color="auto"/>
              <w:right w:val="nil"/>
            </w:tcBorders>
            <w:shd w:val="clear" w:color="auto" w:fill="auto"/>
            <w:vAlign w:val="bottom"/>
          </w:tcPr>
          <w:p w:rsidR="00BA3D3F" w:rsidRPr="00311C66" w:rsidRDefault="00BA3D3F" w:rsidP="00BA3D3F">
            <w:pPr>
              <w:jc w:val="right"/>
            </w:pPr>
            <w:r w:rsidRPr="00311C66">
              <w:t>933</w:t>
            </w:r>
          </w:p>
        </w:tc>
        <w:tc>
          <w:tcPr>
            <w:tcW w:w="1499" w:type="dxa"/>
            <w:gridSpan w:val="2"/>
            <w:tcBorders>
              <w:top w:val="nil"/>
              <w:left w:val="nil"/>
              <w:bottom w:val="single" w:sz="4" w:space="0" w:color="auto"/>
              <w:right w:val="nil"/>
            </w:tcBorders>
            <w:shd w:val="clear" w:color="auto" w:fill="auto"/>
            <w:vAlign w:val="bottom"/>
          </w:tcPr>
          <w:p w:rsidR="00BA3D3F" w:rsidRDefault="00BA3D3F" w:rsidP="00BA3D3F">
            <w:pPr>
              <w:jc w:val="right"/>
            </w:pPr>
            <w:r w:rsidRPr="00311C66">
              <w:t>921</w:t>
            </w:r>
          </w:p>
        </w:tc>
      </w:tr>
      <w:tr w:rsidR="00814310" w:rsidRPr="00A7384E" w:rsidTr="00274F7C">
        <w:trPr>
          <w:trHeight w:val="255"/>
          <w:jc w:val="right"/>
        </w:trPr>
        <w:tc>
          <w:tcPr>
            <w:tcW w:w="2996" w:type="dxa"/>
            <w:gridSpan w:val="2"/>
            <w:tcBorders>
              <w:top w:val="single" w:sz="4" w:space="0" w:color="auto"/>
              <w:left w:val="nil"/>
              <w:bottom w:val="single" w:sz="4" w:space="0" w:color="auto"/>
              <w:right w:val="nil"/>
            </w:tcBorders>
            <w:shd w:val="clear" w:color="auto" w:fill="auto"/>
            <w:noWrap/>
            <w:vAlign w:val="bottom"/>
          </w:tcPr>
          <w:p w:rsidR="00814310" w:rsidRPr="00A7384E" w:rsidRDefault="00814310" w:rsidP="00A7384E">
            <w:pPr>
              <w:keepNext/>
              <w:keepLines/>
              <w:suppressLineNumbers/>
              <w:rPr>
                <w:rFonts w:ascii="Arial" w:hAnsi="Arial" w:cs="Arial"/>
                <w:b/>
                <w:bCs/>
                <w:sz w:val="20"/>
                <w:szCs w:val="20"/>
              </w:rPr>
            </w:pPr>
            <w:r w:rsidRPr="00A7384E">
              <w:rPr>
                <w:rFonts w:ascii="Arial" w:hAnsi="Arial" w:cs="Arial"/>
                <w:b/>
                <w:bCs/>
                <w:sz w:val="20"/>
                <w:szCs w:val="20"/>
              </w:rPr>
              <w:t>Wholesale and International</w:t>
            </w:r>
          </w:p>
        </w:tc>
        <w:tc>
          <w:tcPr>
            <w:tcW w:w="1498" w:type="dxa"/>
            <w:tcBorders>
              <w:top w:val="single" w:sz="4" w:space="0" w:color="auto"/>
              <w:left w:val="nil"/>
              <w:bottom w:val="single" w:sz="4" w:space="0" w:color="auto"/>
              <w:right w:val="nil"/>
            </w:tcBorders>
            <w:vAlign w:val="bottom"/>
          </w:tcPr>
          <w:p w:rsidR="00814310" w:rsidRPr="00A7384E" w:rsidRDefault="00814310" w:rsidP="00F6448A">
            <w:pPr>
              <w:keepNext/>
              <w:keepLines/>
              <w:suppressLineNumbers/>
              <w:jc w:val="right"/>
              <w:rPr>
                <w:rFonts w:ascii="Arial" w:hAnsi="Arial"/>
                <w:sz w:val="20"/>
              </w:rPr>
            </w:pPr>
            <w:r w:rsidRPr="00A7384E">
              <w:rPr>
                <w:rFonts w:ascii="Arial" w:hAnsi="Arial"/>
                <w:sz w:val="20"/>
              </w:rPr>
              <w:t>5</w:t>
            </w:r>
          </w:p>
        </w:tc>
        <w:tc>
          <w:tcPr>
            <w:tcW w:w="1499" w:type="dxa"/>
            <w:tcBorders>
              <w:top w:val="single" w:sz="4" w:space="0" w:color="auto"/>
              <w:left w:val="nil"/>
              <w:bottom w:val="single" w:sz="4" w:space="0" w:color="auto"/>
              <w:right w:val="nil"/>
            </w:tcBorders>
            <w:shd w:val="clear" w:color="auto" w:fill="auto"/>
            <w:vAlign w:val="bottom"/>
          </w:tcPr>
          <w:p w:rsidR="00814310" w:rsidRPr="00A7384E" w:rsidRDefault="00814310" w:rsidP="00F6448A">
            <w:pPr>
              <w:keepNext/>
              <w:keepLines/>
              <w:suppressLineNumbers/>
              <w:jc w:val="right"/>
              <w:rPr>
                <w:rFonts w:ascii="Arial" w:hAnsi="Arial"/>
                <w:sz w:val="20"/>
              </w:rPr>
            </w:pPr>
            <w:r w:rsidRPr="00A7384E">
              <w:rPr>
                <w:rFonts w:ascii="Arial" w:hAnsi="Arial"/>
                <w:sz w:val="20"/>
              </w:rPr>
              <w:t>5</w:t>
            </w:r>
          </w:p>
        </w:tc>
        <w:tc>
          <w:tcPr>
            <w:tcW w:w="1499" w:type="dxa"/>
            <w:tcBorders>
              <w:top w:val="single" w:sz="4" w:space="0" w:color="auto"/>
              <w:left w:val="nil"/>
              <w:bottom w:val="single" w:sz="4" w:space="0" w:color="auto"/>
              <w:right w:val="nil"/>
            </w:tcBorders>
            <w:shd w:val="clear" w:color="auto" w:fill="auto"/>
            <w:vAlign w:val="bottom"/>
          </w:tcPr>
          <w:p w:rsidR="00814310" w:rsidRPr="00A7384E" w:rsidRDefault="00814310" w:rsidP="00A7384E">
            <w:pPr>
              <w:keepNext/>
              <w:keepLines/>
              <w:suppressLineNumbers/>
              <w:jc w:val="right"/>
              <w:rPr>
                <w:rFonts w:ascii="Arial" w:hAnsi="Arial"/>
                <w:sz w:val="20"/>
              </w:rPr>
            </w:pPr>
            <w:r w:rsidRPr="00A7384E">
              <w:rPr>
                <w:rFonts w:ascii="Arial" w:hAnsi="Arial"/>
                <w:sz w:val="20"/>
              </w:rPr>
              <w:t>5</w:t>
            </w:r>
          </w:p>
        </w:tc>
        <w:tc>
          <w:tcPr>
            <w:tcW w:w="1499" w:type="dxa"/>
            <w:tcBorders>
              <w:top w:val="single" w:sz="4" w:space="0" w:color="auto"/>
              <w:left w:val="nil"/>
              <w:bottom w:val="single" w:sz="4" w:space="0" w:color="auto"/>
              <w:right w:val="nil"/>
            </w:tcBorders>
            <w:shd w:val="clear" w:color="auto" w:fill="auto"/>
            <w:vAlign w:val="bottom"/>
          </w:tcPr>
          <w:p w:rsidR="00814310" w:rsidRPr="00A7384E" w:rsidRDefault="00814310" w:rsidP="00A7384E">
            <w:pPr>
              <w:keepNext/>
              <w:keepLines/>
              <w:suppressLineNumbers/>
              <w:jc w:val="right"/>
              <w:rPr>
                <w:rFonts w:ascii="Arial" w:hAnsi="Arial"/>
                <w:sz w:val="20"/>
              </w:rPr>
            </w:pPr>
            <w:r w:rsidRPr="00A7384E">
              <w:rPr>
                <w:rFonts w:ascii="Arial" w:hAnsi="Arial"/>
                <w:sz w:val="20"/>
              </w:rPr>
              <w:t>5</w:t>
            </w:r>
          </w:p>
        </w:tc>
        <w:tc>
          <w:tcPr>
            <w:tcW w:w="1499" w:type="dxa"/>
            <w:gridSpan w:val="2"/>
            <w:tcBorders>
              <w:top w:val="single" w:sz="4" w:space="0" w:color="auto"/>
              <w:left w:val="nil"/>
              <w:bottom w:val="single" w:sz="4" w:space="0" w:color="auto"/>
              <w:right w:val="nil"/>
            </w:tcBorders>
            <w:shd w:val="clear" w:color="auto" w:fill="auto"/>
            <w:vAlign w:val="bottom"/>
          </w:tcPr>
          <w:p w:rsidR="00814310" w:rsidRPr="00A7384E" w:rsidRDefault="00814310" w:rsidP="00A7384E">
            <w:pPr>
              <w:keepNext/>
              <w:keepLines/>
              <w:suppressLineNumbers/>
              <w:jc w:val="right"/>
              <w:rPr>
                <w:rFonts w:ascii="Arial" w:hAnsi="Arial"/>
                <w:sz w:val="20"/>
              </w:rPr>
            </w:pPr>
            <w:r w:rsidRPr="00A7384E">
              <w:rPr>
                <w:rFonts w:ascii="Arial" w:hAnsi="Arial"/>
                <w:sz w:val="20"/>
              </w:rPr>
              <w:t>5</w:t>
            </w:r>
          </w:p>
        </w:tc>
      </w:tr>
      <w:tr w:rsidR="00BA3D3F" w:rsidRPr="00A7384E" w:rsidTr="00BA3D3F">
        <w:trPr>
          <w:trHeight w:val="402"/>
          <w:jc w:val="right"/>
        </w:trPr>
        <w:tc>
          <w:tcPr>
            <w:tcW w:w="2996" w:type="dxa"/>
            <w:gridSpan w:val="2"/>
            <w:tcBorders>
              <w:top w:val="single" w:sz="4" w:space="0" w:color="auto"/>
              <w:left w:val="nil"/>
              <w:bottom w:val="single" w:sz="8" w:space="0" w:color="auto"/>
              <w:right w:val="nil"/>
            </w:tcBorders>
            <w:shd w:val="clear" w:color="auto" w:fill="auto"/>
            <w:vAlign w:val="bottom"/>
          </w:tcPr>
          <w:p w:rsidR="00BA3D3F" w:rsidRPr="00A7384E" w:rsidRDefault="00BA3D3F" w:rsidP="00A7384E">
            <w:pPr>
              <w:keepNext/>
              <w:keepLines/>
              <w:suppressLineNumbers/>
              <w:rPr>
                <w:rFonts w:ascii="Arial" w:hAnsi="Arial" w:cs="Arial"/>
                <w:b/>
                <w:bCs/>
                <w:sz w:val="20"/>
                <w:szCs w:val="20"/>
              </w:rPr>
            </w:pPr>
            <w:r w:rsidRPr="00A7384E">
              <w:rPr>
                <w:rFonts w:ascii="Arial" w:hAnsi="Arial" w:cs="Arial"/>
                <w:b/>
                <w:bCs/>
                <w:sz w:val="20"/>
                <w:szCs w:val="20"/>
              </w:rPr>
              <w:t>System Total Active Meters</w:t>
            </w:r>
          </w:p>
        </w:tc>
        <w:tc>
          <w:tcPr>
            <w:tcW w:w="1498" w:type="dxa"/>
            <w:tcBorders>
              <w:top w:val="single" w:sz="4" w:space="0" w:color="auto"/>
              <w:left w:val="nil"/>
              <w:bottom w:val="single" w:sz="8" w:space="0" w:color="auto"/>
              <w:right w:val="nil"/>
            </w:tcBorders>
            <w:vAlign w:val="bottom"/>
          </w:tcPr>
          <w:p w:rsidR="00BA3D3F" w:rsidRPr="00A8271D" w:rsidRDefault="00BA3D3F" w:rsidP="00BA3D3F">
            <w:pPr>
              <w:jc w:val="right"/>
            </w:pPr>
            <w:r w:rsidRPr="00A8271D">
              <w:t>5,516,984</w:t>
            </w:r>
          </w:p>
        </w:tc>
        <w:tc>
          <w:tcPr>
            <w:tcW w:w="1499" w:type="dxa"/>
            <w:tcBorders>
              <w:top w:val="single" w:sz="4" w:space="0" w:color="auto"/>
              <w:left w:val="nil"/>
              <w:bottom w:val="single" w:sz="8" w:space="0" w:color="auto"/>
              <w:right w:val="nil"/>
            </w:tcBorders>
            <w:shd w:val="clear" w:color="auto" w:fill="auto"/>
            <w:noWrap/>
            <w:vAlign w:val="bottom"/>
          </w:tcPr>
          <w:p w:rsidR="00BA3D3F" w:rsidRPr="00A8271D" w:rsidRDefault="00BA3D3F" w:rsidP="00BA3D3F">
            <w:pPr>
              <w:jc w:val="right"/>
            </w:pPr>
            <w:r w:rsidRPr="00A8271D">
              <w:t>5,549,538</w:t>
            </w:r>
          </w:p>
        </w:tc>
        <w:tc>
          <w:tcPr>
            <w:tcW w:w="1499" w:type="dxa"/>
            <w:tcBorders>
              <w:top w:val="single" w:sz="4" w:space="0" w:color="auto"/>
              <w:left w:val="nil"/>
              <w:bottom w:val="single" w:sz="8" w:space="0" w:color="auto"/>
              <w:right w:val="nil"/>
            </w:tcBorders>
            <w:shd w:val="clear" w:color="auto" w:fill="auto"/>
            <w:noWrap/>
            <w:vAlign w:val="bottom"/>
          </w:tcPr>
          <w:p w:rsidR="00BA3D3F" w:rsidRPr="00A8271D" w:rsidRDefault="00BA3D3F" w:rsidP="00BA3D3F">
            <w:pPr>
              <w:jc w:val="right"/>
            </w:pPr>
            <w:r w:rsidRPr="00A8271D">
              <w:t>5,576,761</w:t>
            </w:r>
          </w:p>
        </w:tc>
        <w:tc>
          <w:tcPr>
            <w:tcW w:w="1499" w:type="dxa"/>
            <w:tcBorders>
              <w:top w:val="single" w:sz="4" w:space="0" w:color="auto"/>
              <w:left w:val="nil"/>
              <w:bottom w:val="single" w:sz="8" w:space="0" w:color="auto"/>
              <w:right w:val="nil"/>
            </w:tcBorders>
            <w:shd w:val="clear" w:color="auto" w:fill="auto"/>
            <w:noWrap/>
            <w:vAlign w:val="bottom"/>
          </w:tcPr>
          <w:p w:rsidR="00BA3D3F" w:rsidRPr="00A8271D" w:rsidRDefault="00BA3D3F" w:rsidP="00BA3D3F">
            <w:pPr>
              <w:jc w:val="right"/>
            </w:pPr>
            <w:r w:rsidRPr="00A8271D">
              <w:t>5,606,535</w:t>
            </w:r>
          </w:p>
        </w:tc>
        <w:tc>
          <w:tcPr>
            <w:tcW w:w="1499" w:type="dxa"/>
            <w:gridSpan w:val="2"/>
            <w:tcBorders>
              <w:top w:val="single" w:sz="4" w:space="0" w:color="auto"/>
              <w:left w:val="nil"/>
              <w:bottom w:val="single" w:sz="8" w:space="0" w:color="auto"/>
              <w:right w:val="nil"/>
            </w:tcBorders>
            <w:shd w:val="clear" w:color="auto" w:fill="auto"/>
            <w:noWrap/>
            <w:vAlign w:val="bottom"/>
          </w:tcPr>
          <w:p w:rsidR="00BA3D3F" w:rsidRDefault="00BA3D3F" w:rsidP="00BA3D3F">
            <w:pPr>
              <w:jc w:val="right"/>
            </w:pPr>
            <w:r w:rsidRPr="00A8271D">
              <w:t>5,639,074</w:t>
            </w:r>
          </w:p>
        </w:tc>
      </w:tr>
    </w:tbl>
    <w:p w:rsidR="00B4710D" w:rsidRDefault="00B4710D" w:rsidP="005C6E7A">
      <w:pPr>
        <w:rPr>
          <w:rFonts w:ascii="Arial" w:hAnsi="Arial" w:cs="Arial"/>
          <w:sz w:val="28"/>
          <w:szCs w:val="28"/>
        </w:rPr>
      </w:pPr>
    </w:p>
    <w:p w:rsidR="0034005F" w:rsidRDefault="0034005F" w:rsidP="00F67377">
      <w:pPr>
        <w:rPr>
          <w:rFonts w:ascii="Arial" w:hAnsi="Arial" w:cs="Arial"/>
          <w:sz w:val="20"/>
          <w:szCs w:val="20"/>
        </w:rPr>
      </w:pPr>
      <w:r w:rsidRPr="0034005F">
        <w:rPr>
          <w:rFonts w:ascii="Arial" w:hAnsi="Arial" w:cs="Arial"/>
          <w:sz w:val="20"/>
          <w:szCs w:val="20"/>
          <w:u w:val="single"/>
        </w:rPr>
        <w:t>Notes</w:t>
      </w:r>
      <w:r w:rsidRPr="0034005F">
        <w:rPr>
          <w:rFonts w:ascii="Arial" w:hAnsi="Arial" w:cs="Arial"/>
          <w:sz w:val="20"/>
          <w:szCs w:val="20"/>
        </w:rPr>
        <w:t>:</w:t>
      </w:r>
    </w:p>
    <w:p w:rsidR="00A85689" w:rsidRPr="0034005F" w:rsidRDefault="0034005F" w:rsidP="00F67377">
      <w:pPr>
        <w:rPr>
          <w:rFonts w:ascii="Arial" w:hAnsi="Arial" w:cs="Arial"/>
          <w:sz w:val="20"/>
          <w:szCs w:val="20"/>
        </w:rPr>
      </w:pPr>
      <w:r w:rsidRPr="0034005F">
        <w:rPr>
          <w:rFonts w:ascii="Arial" w:hAnsi="Arial" w:cs="Arial"/>
          <w:sz w:val="20"/>
          <w:szCs w:val="20"/>
          <w:u w:val="single"/>
        </w:rPr>
        <w:t>1</w:t>
      </w:r>
      <w:r>
        <w:rPr>
          <w:rFonts w:ascii="Arial" w:hAnsi="Arial" w:cs="Arial"/>
          <w:sz w:val="20"/>
          <w:szCs w:val="20"/>
        </w:rPr>
        <w:t>/ T</w:t>
      </w:r>
      <w:r w:rsidRPr="0034005F">
        <w:rPr>
          <w:rFonts w:ascii="Arial" w:hAnsi="Arial" w:cs="Arial"/>
          <w:sz w:val="20"/>
          <w:szCs w:val="20"/>
        </w:rPr>
        <w:t>he EOR customer count of 33 for year 2014 is a corrected value from the value (29) that is reported in our gas demand forecast (Testimony &amp; Work Papers); a mistake was found in referencing the source used for the EOR customer count data reported per the original filing July 2015.</w:t>
      </w:r>
      <w:r w:rsidR="00F67377" w:rsidRPr="0034005F">
        <w:rPr>
          <w:rFonts w:ascii="Arial" w:hAnsi="Arial" w:cs="Arial"/>
          <w:sz w:val="20"/>
          <w:szCs w:val="20"/>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sidR="00CD51A8">
        <w:rPr>
          <w:rFonts w:ascii="Arial" w:hAnsi="Arial" w:cs="Arial"/>
          <w:b/>
          <w:u w:val="single"/>
        </w:rPr>
        <w:t>4.</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CD51A8" w:rsidRPr="00CD51A8" w:rsidRDefault="00CD51A8" w:rsidP="00CD51A8">
      <w:pPr>
        <w:rPr>
          <w:rFonts w:ascii="Arial" w:hAnsi="Arial" w:cs="Arial"/>
        </w:rPr>
      </w:pPr>
      <w:r w:rsidRPr="00CD51A8">
        <w:rPr>
          <w:rFonts w:ascii="Arial" w:hAnsi="Arial" w:cs="Arial"/>
        </w:rPr>
        <w:t xml:space="preserve">With respect to the statement at pages 70-71 of Wetzel </w:t>
      </w:r>
      <w:proofErr w:type="spellStart"/>
      <w:r w:rsidRPr="00CD51A8">
        <w:rPr>
          <w:rFonts w:ascii="Arial" w:hAnsi="Arial" w:cs="Arial"/>
        </w:rPr>
        <w:t>Workpapers</w:t>
      </w:r>
      <w:proofErr w:type="spellEnd"/>
      <w:r w:rsidRPr="00CD51A8">
        <w:rPr>
          <w:rFonts w:ascii="Arial" w:hAnsi="Arial" w:cs="Arial"/>
        </w:rPr>
        <w:t>: “Energy savings goals that were authorized by the CPUC in decision D.04-09-060 and expected load leaving for service by the City of Vernon were subtracted from the model forecast to arrive at final demand forecast for the commercial and industrial markets.”</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4.6.1.</w:t>
      </w:r>
      <w:r w:rsidRPr="00CD51A8">
        <w:rPr>
          <w:rFonts w:ascii="Arial" w:hAnsi="Arial" w:cs="Arial"/>
        </w:rPr>
        <w:tab/>
        <w:t>Has SoCalGas measured the energy savings that have been accomplished by its programs authorized in D.04-09-060 using a control group of non-participating customers and a sample size sufficient to provide the resulting measured savings at least a 90 percent confidence interval?</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4.6.2.</w:t>
      </w:r>
      <w:r w:rsidRPr="00CD51A8">
        <w:rPr>
          <w:rFonts w:ascii="Arial" w:hAnsi="Arial" w:cs="Arial"/>
        </w:rPr>
        <w:tab/>
        <w:t>If the answer to Q.4.6.1 is “yes,” please provide a copy of the study measuring the energy savings.</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4.6.3.</w:t>
      </w:r>
      <w:r w:rsidRPr="00CD51A8">
        <w:rPr>
          <w:rFonts w:ascii="Arial" w:hAnsi="Arial" w:cs="Arial"/>
        </w:rPr>
        <w:tab/>
        <w:t>If the answer to Q.4.6.1 is “no,” please explain why SoCalGas has not measured the energy savings associated with these programs.</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4.6.4.</w:t>
      </w:r>
      <w:r w:rsidRPr="00CD51A8">
        <w:rPr>
          <w:rFonts w:ascii="Arial" w:hAnsi="Arial" w:cs="Arial"/>
        </w:rPr>
        <w:tab/>
        <w:t>How much load has left each year for service by the City of Vernon during the years prior to 2015?</w:t>
      </w:r>
    </w:p>
    <w:p w:rsidR="00CD51A8" w:rsidRDefault="00CD51A8" w:rsidP="00CD51A8">
      <w:pPr>
        <w:rPr>
          <w:rFonts w:ascii="Arial" w:hAnsi="Arial" w:cs="Arial"/>
        </w:rPr>
      </w:pPr>
    </w:p>
    <w:p w:rsidR="00582C14" w:rsidRPr="0031141C" w:rsidRDefault="00CD51A8" w:rsidP="00CD51A8">
      <w:pPr>
        <w:ind w:left="720" w:hanging="720"/>
        <w:rPr>
          <w:rFonts w:ascii="Arial" w:hAnsi="Arial" w:cs="Arial"/>
        </w:rPr>
      </w:pPr>
      <w:r w:rsidRPr="00CD51A8">
        <w:rPr>
          <w:rFonts w:ascii="Arial" w:hAnsi="Arial" w:cs="Arial"/>
        </w:rPr>
        <w:t>4.6.5.</w:t>
      </w:r>
      <w:r w:rsidRPr="00CD51A8">
        <w:rPr>
          <w:rFonts w:ascii="Arial" w:hAnsi="Arial" w:cs="Arial"/>
        </w:rPr>
        <w:tab/>
        <w:t>How much load is projected to leave for service by the City of Vernon during the each year of the period 2015-2019?</w:t>
      </w:r>
    </w:p>
    <w:p w:rsidR="00F67377" w:rsidRPr="0031141C" w:rsidRDefault="00F67377" w:rsidP="00F67377">
      <w:pPr>
        <w:rPr>
          <w:rFonts w:ascii="Arial" w:hAnsi="Arial" w:cs="Arial"/>
        </w:rPr>
      </w:pPr>
    </w:p>
    <w:p w:rsidR="00CD51A8" w:rsidRDefault="00CD51A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w:t>
      </w:r>
      <w:r w:rsidR="00CD51A8">
        <w:rPr>
          <w:rFonts w:ascii="Arial" w:hAnsi="Arial" w:cs="Arial"/>
          <w:b/>
          <w:u w:val="single"/>
        </w:rPr>
        <w:t xml:space="preserve"> 4.</w:t>
      </w:r>
      <w:r>
        <w:rPr>
          <w:rFonts w:ascii="Arial" w:hAnsi="Arial" w:cs="Arial"/>
          <w:b/>
          <w:u w:val="single"/>
        </w:rPr>
        <w:t>6</w:t>
      </w:r>
      <w:r w:rsidRPr="00F759E8">
        <w:rPr>
          <w:rFonts w:ascii="Arial" w:hAnsi="Arial" w:cs="Arial"/>
          <w:b/>
          <w:u w:val="single"/>
        </w:rPr>
        <w:t>:</w:t>
      </w:r>
    </w:p>
    <w:p w:rsidR="00384987" w:rsidRPr="00384987" w:rsidRDefault="00384987" w:rsidP="00384987">
      <w:pPr>
        <w:rPr>
          <w:rFonts w:ascii="Arial" w:hAnsi="Arial" w:cs="Arial"/>
          <w:sz w:val="28"/>
          <w:szCs w:val="28"/>
        </w:rPr>
      </w:pPr>
    </w:p>
    <w:p w:rsidR="00384987" w:rsidRPr="00384987" w:rsidRDefault="00384987" w:rsidP="00384987">
      <w:pPr>
        <w:ind w:left="720" w:hanging="720"/>
        <w:rPr>
          <w:rFonts w:ascii="Arial" w:hAnsi="Arial" w:cs="Arial"/>
          <w:color w:val="000000" w:themeColor="text1"/>
        </w:rPr>
      </w:pPr>
      <w:r w:rsidRPr="00384987">
        <w:rPr>
          <w:rFonts w:ascii="Arial" w:hAnsi="Arial" w:cs="Arial"/>
        </w:rPr>
        <w:t>4.6.1.</w:t>
      </w:r>
      <w:r w:rsidRPr="00384987">
        <w:rPr>
          <w:rFonts w:ascii="Arial" w:hAnsi="Arial" w:cs="Arial"/>
        </w:rPr>
        <w:tab/>
      </w:r>
      <w:r w:rsidRPr="00384987">
        <w:rPr>
          <w:rFonts w:ascii="Arial" w:hAnsi="Arial" w:cs="Arial"/>
          <w:color w:val="000000" w:themeColor="text1"/>
        </w:rPr>
        <w:t>No.  S</w:t>
      </w:r>
      <w:r w:rsidR="001A2BF1">
        <w:rPr>
          <w:rFonts w:ascii="Arial" w:hAnsi="Arial" w:cs="Arial"/>
          <w:color w:val="000000" w:themeColor="text1"/>
        </w:rPr>
        <w:t>o</w:t>
      </w:r>
      <w:r w:rsidRPr="00384987">
        <w:rPr>
          <w:rFonts w:ascii="Arial" w:hAnsi="Arial" w:cs="Arial"/>
          <w:color w:val="000000" w:themeColor="text1"/>
        </w:rPr>
        <w:t>C</w:t>
      </w:r>
      <w:r w:rsidR="001A2BF1">
        <w:rPr>
          <w:rFonts w:ascii="Arial" w:hAnsi="Arial" w:cs="Arial"/>
          <w:color w:val="000000" w:themeColor="text1"/>
        </w:rPr>
        <w:t>al</w:t>
      </w:r>
      <w:r w:rsidRPr="00384987">
        <w:rPr>
          <w:rFonts w:ascii="Arial" w:hAnsi="Arial" w:cs="Arial"/>
          <w:color w:val="000000" w:themeColor="text1"/>
        </w:rPr>
        <w:t>G</w:t>
      </w:r>
      <w:r w:rsidR="001A2BF1">
        <w:rPr>
          <w:rFonts w:ascii="Arial" w:hAnsi="Arial" w:cs="Arial"/>
          <w:color w:val="000000" w:themeColor="text1"/>
        </w:rPr>
        <w:t>as</w:t>
      </w:r>
      <w:r w:rsidRPr="00384987">
        <w:rPr>
          <w:rFonts w:ascii="Arial" w:hAnsi="Arial" w:cs="Arial"/>
          <w:color w:val="000000" w:themeColor="text1"/>
        </w:rPr>
        <w:t xml:space="preserve"> does not use a control group of non-participating customers and a sample size for measured energy savings.</w:t>
      </w:r>
      <w:r w:rsidR="001A2BF1">
        <w:rPr>
          <w:rFonts w:ascii="Arial" w:hAnsi="Arial" w:cs="Arial"/>
          <w:color w:val="000000" w:themeColor="text1"/>
        </w:rPr>
        <w:t xml:space="preserve">  M</w:t>
      </w:r>
      <w:r w:rsidR="001A2BF1" w:rsidRPr="00384987">
        <w:rPr>
          <w:rFonts w:ascii="Arial" w:hAnsi="Arial" w:cs="Arial"/>
          <w:color w:val="000000" w:themeColor="text1"/>
        </w:rPr>
        <w:t xml:space="preserve">easurement of actual energy savings is conducted by Commission staff. For more information about the how energy savings are measured and verified, refer to the CPUC Energy Efficiency Evaluation, Measurement, and Verification web site at </w:t>
      </w:r>
      <w:hyperlink r:id="rId8" w:history="1">
        <w:r w:rsidR="001A2BF1" w:rsidRPr="00384987">
          <w:rPr>
            <w:rFonts w:ascii="Arial" w:hAnsi="Arial" w:cs="Arial"/>
            <w:color w:val="0000FF"/>
            <w:u w:val="single"/>
          </w:rPr>
          <w:t>http://www.cpuc.ca.gov/General.aspx?id=5399</w:t>
        </w:r>
      </w:hyperlink>
      <w:r w:rsidR="001A2BF1">
        <w:rPr>
          <w:rFonts w:ascii="Arial" w:hAnsi="Arial" w:cs="Arial"/>
          <w:color w:val="0000FF"/>
          <w:u w:val="single"/>
        </w:rPr>
        <w:t>.</w:t>
      </w:r>
    </w:p>
    <w:p w:rsidR="00384987" w:rsidRPr="00384987" w:rsidRDefault="00384987" w:rsidP="00384987">
      <w:pPr>
        <w:ind w:left="720" w:hanging="720"/>
        <w:rPr>
          <w:rFonts w:ascii="Arial" w:hAnsi="Arial" w:cs="Arial"/>
          <w:color w:val="000000" w:themeColor="text1"/>
        </w:rPr>
      </w:pPr>
    </w:p>
    <w:p w:rsidR="00384987" w:rsidRPr="00384987" w:rsidRDefault="00384987" w:rsidP="00384987">
      <w:pPr>
        <w:ind w:left="720" w:hanging="720"/>
        <w:rPr>
          <w:rFonts w:ascii="Arial" w:hAnsi="Arial" w:cs="Arial"/>
        </w:rPr>
      </w:pPr>
      <w:r w:rsidRPr="00384987">
        <w:rPr>
          <w:rFonts w:ascii="Arial" w:hAnsi="Arial" w:cs="Arial"/>
          <w:color w:val="000000" w:themeColor="text1"/>
        </w:rPr>
        <w:t>4.6.2.</w:t>
      </w:r>
      <w:r w:rsidRPr="00384987">
        <w:rPr>
          <w:rFonts w:ascii="Arial" w:hAnsi="Arial" w:cs="Arial"/>
          <w:color w:val="000000" w:themeColor="text1"/>
        </w:rPr>
        <w:tab/>
      </w:r>
      <w:r w:rsidR="001A2BF1">
        <w:rPr>
          <w:rFonts w:ascii="Arial" w:hAnsi="Arial" w:cs="Arial"/>
          <w:color w:val="000000" w:themeColor="text1"/>
        </w:rPr>
        <w:t>N/A.</w:t>
      </w:r>
    </w:p>
    <w:p w:rsidR="00384987" w:rsidRPr="00384987" w:rsidRDefault="00384987" w:rsidP="00384987">
      <w:pPr>
        <w:rPr>
          <w:rFonts w:ascii="Arial" w:hAnsi="Arial" w:cs="Arial"/>
        </w:rPr>
      </w:pPr>
    </w:p>
    <w:p w:rsidR="00384987" w:rsidRPr="00384987" w:rsidRDefault="00384987" w:rsidP="00384987">
      <w:pPr>
        <w:ind w:left="720" w:hanging="720"/>
        <w:rPr>
          <w:rFonts w:ascii="Arial" w:hAnsi="Arial" w:cs="Arial"/>
          <w:color w:val="000000" w:themeColor="text1"/>
        </w:rPr>
      </w:pPr>
      <w:r w:rsidRPr="00384987">
        <w:rPr>
          <w:rFonts w:ascii="Arial" w:hAnsi="Arial" w:cs="Arial"/>
        </w:rPr>
        <w:t>4.6.3.</w:t>
      </w:r>
      <w:r w:rsidRPr="00384987">
        <w:rPr>
          <w:rFonts w:ascii="Arial" w:hAnsi="Arial" w:cs="Arial"/>
        </w:rPr>
        <w:tab/>
      </w:r>
      <w:r w:rsidRPr="00384987">
        <w:rPr>
          <w:rFonts w:ascii="Arial" w:hAnsi="Arial" w:cs="Arial"/>
          <w:color w:val="000000" w:themeColor="text1"/>
        </w:rPr>
        <w:t xml:space="preserve">SoCalGas’ measured energy savings are calculated from approved ex-ante work papers reviewed and approved by Commission staff. The method of using </w:t>
      </w:r>
      <w:r w:rsidR="001A2BF1">
        <w:rPr>
          <w:rFonts w:ascii="Arial" w:hAnsi="Arial" w:cs="Arial"/>
          <w:color w:val="000000" w:themeColor="text1"/>
        </w:rPr>
        <w:t xml:space="preserve">a </w:t>
      </w:r>
      <w:r w:rsidRPr="00384987">
        <w:rPr>
          <w:rFonts w:ascii="Arial" w:hAnsi="Arial" w:cs="Arial"/>
          <w:color w:val="000000" w:themeColor="text1"/>
        </w:rPr>
        <w:t xml:space="preserve">control </w:t>
      </w:r>
      <w:r w:rsidRPr="00384987">
        <w:rPr>
          <w:rFonts w:ascii="Arial" w:hAnsi="Arial" w:cs="Arial"/>
          <w:color w:val="000000" w:themeColor="text1"/>
        </w:rPr>
        <w:lastRenderedPageBreak/>
        <w:t xml:space="preserve">group is limited to behavior-typed energy efficiency programs, which SoCalGas does not currently offer. </w:t>
      </w:r>
    </w:p>
    <w:p w:rsidR="00384987" w:rsidRPr="00384987" w:rsidRDefault="00384987" w:rsidP="00384987">
      <w:pPr>
        <w:ind w:left="720" w:hanging="720"/>
        <w:rPr>
          <w:rFonts w:ascii="Arial" w:hAnsi="Arial" w:cs="Arial"/>
          <w:color w:val="000000" w:themeColor="text1"/>
        </w:rPr>
      </w:pPr>
    </w:p>
    <w:p w:rsidR="00B555DD" w:rsidRDefault="00B555DD" w:rsidP="00B555DD">
      <w:pPr>
        <w:rPr>
          <w:rFonts w:ascii="Arial" w:hAnsi="Arial" w:cs="Arial"/>
        </w:rPr>
      </w:pPr>
      <w:r w:rsidRPr="00CD51A8">
        <w:rPr>
          <w:rFonts w:ascii="Arial" w:hAnsi="Arial" w:cs="Arial"/>
        </w:rPr>
        <w:t>4.6.</w:t>
      </w:r>
      <w:r>
        <w:rPr>
          <w:rFonts w:ascii="Arial" w:hAnsi="Arial" w:cs="Arial"/>
        </w:rPr>
        <w:t xml:space="preserve">4: </w:t>
      </w:r>
    </w:p>
    <w:p w:rsidR="00B555DD" w:rsidRDefault="00B555DD" w:rsidP="00B555DD">
      <w:pPr>
        <w:ind w:left="720"/>
        <w:rPr>
          <w:rFonts w:ascii="Arial" w:hAnsi="Arial" w:cs="Arial"/>
        </w:rPr>
      </w:pPr>
      <w:r>
        <w:rPr>
          <w:rFonts w:ascii="Arial" w:hAnsi="Arial" w:cs="Arial"/>
        </w:rPr>
        <w:t>2012 =</w:t>
      </w:r>
      <w:r w:rsidRPr="00202EDC">
        <w:rPr>
          <w:rFonts w:ascii="Arial" w:hAnsi="Arial" w:cs="Arial"/>
        </w:rPr>
        <w:t xml:space="preserve"> 168,238 </w:t>
      </w:r>
      <w:proofErr w:type="spellStart"/>
      <w:r w:rsidRPr="00202EDC">
        <w:rPr>
          <w:rFonts w:ascii="Arial" w:hAnsi="Arial" w:cs="Arial"/>
        </w:rPr>
        <w:t>therms</w:t>
      </w:r>
      <w:proofErr w:type="spellEnd"/>
      <w:r>
        <w:rPr>
          <w:rFonts w:ascii="Arial" w:hAnsi="Arial" w:cs="Arial"/>
        </w:rPr>
        <w:t xml:space="preserve">, </w:t>
      </w:r>
    </w:p>
    <w:p w:rsidR="00B555DD" w:rsidRDefault="00B555DD" w:rsidP="00B555DD">
      <w:pPr>
        <w:ind w:left="720"/>
        <w:rPr>
          <w:rFonts w:ascii="Arial" w:hAnsi="Arial" w:cs="Arial"/>
        </w:rPr>
      </w:pPr>
      <w:r>
        <w:rPr>
          <w:rFonts w:ascii="Arial" w:hAnsi="Arial" w:cs="Arial"/>
        </w:rPr>
        <w:t>2013 =</w:t>
      </w:r>
      <w:r w:rsidRPr="000B47BE">
        <w:rPr>
          <w:rFonts w:ascii="Arial" w:hAnsi="Arial" w:cs="Arial"/>
        </w:rPr>
        <w:t xml:space="preserve"> 464,849 </w:t>
      </w:r>
      <w:proofErr w:type="spellStart"/>
      <w:r w:rsidRPr="000B47BE">
        <w:rPr>
          <w:rFonts w:ascii="Arial" w:hAnsi="Arial" w:cs="Arial"/>
        </w:rPr>
        <w:t>therms</w:t>
      </w:r>
      <w:proofErr w:type="spellEnd"/>
      <w:r>
        <w:rPr>
          <w:rFonts w:ascii="Arial" w:hAnsi="Arial" w:cs="Arial"/>
        </w:rPr>
        <w:t xml:space="preserve">, </w:t>
      </w:r>
    </w:p>
    <w:p w:rsidR="00B555DD" w:rsidRPr="000B47BE" w:rsidRDefault="00B555DD" w:rsidP="00B555DD">
      <w:pPr>
        <w:ind w:left="720"/>
        <w:rPr>
          <w:rFonts w:ascii="Arial" w:hAnsi="Arial" w:cs="Arial"/>
        </w:rPr>
      </w:pPr>
      <w:r>
        <w:rPr>
          <w:rFonts w:ascii="Arial" w:hAnsi="Arial" w:cs="Arial"/>
        </w:rPr>
        <w:t>2014 =</w:t>
      </w:r>
      <w:r w:rsidRPr="000B47BE">
        <w:rPr>
          <w:rFonts w:ascii="Arial" w:hAnsi="Arial" w:cs="Arial"/>
        </w:rPr>
        <w:t xml:space="preserve"> 2,361,902 </w:t>
      </w:r>
      <w:proofErr w:type="spellStart"/>
      <w:r w:rsidRPr="000B47BE">
        <w:rPr>
          <w:rFonts w:ascii="Arial" w:hAnsi="Arial" w:cs="Arial"/>
        </w:rPr>
        <w:t>therms</w:t>
      </w:r>
      <w:proofErr w:type="spellEnd"/>
    </w:p>
    <w:p w:rsidR="00B555DD" w:rsidRDefault="00B555DD" w:rsidP="00B555DD">
      <w:pPr>
        <w:rPr>
          <w:rFonts w:ascii="Arial" w:hAnsi="Arial" w:cs="Arial"/>
        </w:rPr>
      </w:pPr>
    </w:p>
    <w:p w:rsidR="00B555DD" w:rsidRDefault="00B555DD" w:rsidP="00B555DD">
      <w:pPr>
        <w:rPr>
          <w:rFonts w:ascii="Arial" w:hAnsi="Arial" w:cs="Arial"/>
        </w:rPr>
      </w:pPr>
      <w:r w:rsidRPr="00CD51A8">
        <w:rPr>
          <w:rFonts w:ascii="Arial" w:hAnsi="Arial" w:cs="Arial"/>
        </w:rPr>
        <w:t>4.6.</w:t>
      </w:r>
      <w:r>
        <w:rPr>
          <w:rFonts w:ascii="Arial" w:hAnsi="Arial" w:cs="Arial"/>
        </w:rPr>
        <w:t xml:space="preserve">5:  </w:t>
      </w:r>
    </w:p>
    <w:p w:rsidR="00B555DD" w:rsidRDefault="00B555DD" w:rsidP="00B555DD">
      <w:pPr>
        <w:ind w:left="720"/>
        <w:rPr>
          <w:rFonts w:ascii="Arial" w:hAnsi="Arial" w:cs="Arial"/>
        </w:rPr>
      </w:pPr>
      <w:r w:rsidRPr="00202EDC">
        <w:rPr>
          <w:rFonts w:ascii="Arial" w:hAnsi="Arial" w:cs="Arial"/>
        </w:rPr>
        <w:t>2015</w:t>
      </w:r>
      <w:r>
        <w:rPr>
          <w:rFonts w:ascii="Arial" w:hAnsi="Arial" w:cs="Arial"/>
        </w:rPr>
        <w:t xml:space="preserve">-2019 = </w:t>
      </w:r>
      <w:r w:rsidRPr="00202EDC">
        <w:rPr>
          <w:rFonts w:ascii="Arial" w:hAnsi="Arial" w:cs="Arial"/>
        </w:rPr>
        <w:t xml:space="preserve">1,426,064 </w:t>
      </w:r>
      <w:proofErr w:type="spellStart"/>
      <w:r w:rsidRPr="00202EDC">
        <w:rPr>
          <w:rFonts w:ascii="Arial" w:hAnsi="Arial" w:cs="Arial"/>
        </w:rPr>
        <w:t>therms</w:t>
      </w:r>
      <w:proofErr w:type="spellEnd"/>
      <w:r>
        <w:rPr>
          <w:rFonts w:ascii="Arial" w:hAnsi="Arial" w:cs="Arial"/>
        </w:rPr>
        <w:t>/year</w:t>
      </w:r>
    </w:p>
    <w:p w:rsidR="00B555DD" w:rsidRPr="0031141C" w:rsidRDefault="00B555DD" w:rsidP="00B555DD">
      <w:pPr>
        <w:rPr>
          <w:rFonts w:ascii="Arial" w:hAnsi="Arial" w:cs="Arial"/>
        </w:rPr>
      </w:pPr>
    </w:p>
    <w:p w:rsidR="00F67377" w:rsidRPr="00384987" w:rsidRDefault="00F67377" w:rsidP="005C6E7A">
      <w:pPr>
        <w:rPr>
          <w:rFonts w:ascii="Arial" w:hAnsi="Arial" w:cs="Arial"/>
          <w:color w:val="000000" w:themeColor="text1"/>
          <w:sz w:val="28"/>
          <w:szCs w:val="28"/>
        </w:rPr>
      </w:pPr>
    </w:p>
    <w:p w:rsidR="00A85689" w:rsidRPr="00384987" w:rsidRDefault="00F67377" w:rsidP="00F67377">
      <w:pPr>
        <w:rPr>
          <w:rFonts w:ascii="Arial" w:hAnsi="Arial" w:cs="Arial"/>
          <w:b/>
          <w:color w:val="000000" w:themeColor="text1"/>
          <w:u w:val="single"/>
        </w:rPr>
      </w:pPr>
      <w:r w:rsidRPr="00384987">
        <w:rPr>
          <w:rFonts w:ascii="Arial" w:hAnsi="Arial" w:cs="Arial"/>
          <w:b/>
          <w:color w:val="000000" w:themeColor="text1"/>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sidR="00CD51A8">
        <w:rPr>
          <w:rFonts w:ascii="Arial" w:hAnsi="Arial" w:cs="Arial"/>
          <w:b/>
          <w:u w:val="single"/>
        </w:rPr>
        <w:t>4.</w:t>
      </w:r>
      <w:r>
        <w:rPr>
          <w:rFonts w:ascii="Arial" w:hAnsi="Arial" w:cs="Arial"/>
          <w:b/>
          <w:u w:val="single"/>
        </w:rPr>
        <w:t>7</w:t>
      </w:r>
      <w:r w:rsidRPr="00F759E8">
        <w:rPr>
          <w:rFonts w:ascii="Arial" w:hAnsi="Arial" w:cs="Arial"/>
          <w:b/>
          <w:u w:val="single"/>
        </w:rPr>
        <w:t>:</w:t>
      </w:r>
    </w:p>
    <w:p w:rsidR="00F67377" w:rsidRPr="0031141C" w:rsidRDefault="00F67377" w:rsidP="00F67377">
      <w:pPr>
        <w:rPr>
          <w:rFonts w:ascii="Arial" w:hAnsi="Arial" w:cs="Arial"/>
        </w:rPr>
      </w:pPr>
    </w:p>
    <w:p w:rsidR="00CD51A8" w:rsidRPr="00CD51A8" w:rsidRDefault="00CD51A8" w:rsidP="00CD51A8">
      <w:pPr>
        <w:rPr>
          <w:rFonts w:ascii="Arial" w:hAnsi="Arial" w:cs="Arial"/>
        </w:rPr>
      </w:pPr>
      <w:r w:rsidRPr="00CD51A8">
        <w:rPr>
          <w:rFonts w:ascii="Arial" w:hAnsi="Arial" w:cs="Arial"/>
        </w:rPr>
        <w:t xml:space="preserve">With respect to the statement at page 71 of Wetzel </w:t>
      </w:r>
      <w:proofErr w:type="spellStart"/>
      <w:r w:rsidRPr="00CD51A8">
        <w:rPr>
          <w:rFonts w:ascii="Arial" w:hAnsi="Arial" w:cs="Arial"/>
        </w:rPr>
        <w:t>Workpapers</w:t>
      </w:r>
      <w:proofErr w:type="spellEnd"/>
      <w:r w:rsidRPr="00CD51A8">
        <w:rPr>
          <w:rFonts w:ascii="Arial" w:hAnsi="Arial" w:cs="Arial"/>
        </w:rPr>
        <w:t xml:space="preserve">: “Based on annual data (2008 through 2014) for net movement of customers from core (G-10) to noncore (G-30) service, we expect an average of 4,582,050 </w:t>
      </w:r>
      <w:proofErr w:type="spellStart"/>
      <w:r w:rsidRPr="00CD51A8">
        <w:rPr>
          <w:rFonts w:ascii="Arial" w:hAnsi="Arial" w:cs="Arial"/>
        </w:rPr>
        <w:t>Therms</w:t>
      </w:r>
      <w:proofErr w:type="spellEnd"/>
      <w:r w:rsidRPr="00CD51A8">
        <w:rPr>
          <w:rFonts w:ascii="Arial" w:hAnsi="Arial" w:cs="Arial"/>
        </w:rPr>
        <w:t xml:space="preserve"> of accumulated load from net customer migration from core to noncore through 2020. This load would be split at 36% commercial and 64% industrial and be assumed to occur evenly throughout the year (i.e., the monthly value is 1/12 of the annual amount).”</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4.7.1.</w:t>
      </w:r>
      <w:r w:rsidRPr="00CD51A8">
        <w:rPr>
          <w:rFonts w:ascii="Arial" w:hAnsi="Arial" w:cs="Arial"/>
        </w:rPr>
        <w:tab/>
        <w:t>Has SoCalGas observed a constant amount of customer movement from the core to the noncore during the period 2008-2014?</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4.7.2.</w:t>
      </w:r>
      <w:r w:rsidRPr="00CD51A8">
        <w:rPr>
          <w:rFonts w:ascii="Arial" w:hAnsi="Arial" w:cs="Arial"/>
        </w:rPr>
        <w:tab/>
        <w:t>Has SoCalGas used an average of this customer movement to forecast the customer movement through 2020?</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4.7.3.</w:t>
      </w:r>
      <w:r w:rsidRPr="00CD51A8">
        <w:rPr>
          <w:rFonts w:ascii="Arial" w:hAnsi="Arial" w:cs="Arial"/>
        </w:rPr>
        <w:tab/>
        <w:t>If the answer to the previous question is “no,” please state the equation that SoCalGas has used to extend the trend line for 2008-2014 through 2020.</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4.7.4.</w:t>
      </w:r>
      <w:r w:rsidRPr="00CD51A8">
        <w:rPr>
          <w:rFonts w:ascii="Arial" w:hAnsi="Arial" w:cs="Arial"/>
        </w:rPr>
        <w:tab/>
        <w:t>Has the rate of movement been at all cyclical in nature either within a year’s time or between years?</w:t>
      </w:r>
    </w:p>
    <w:p w:rsidR="00CD51A8" w:rsidRDefault="00CD51A8" w:rsidP="00CD51A8">
      <w:pPr>
        <w:rPr>
          <w:rFonts w:ascii="Arial" w:hAnsi="Arial" w:cs="Arial"/>
        </w:rPr>
      </w:pPr>
    </w:p>
    <w:p w:rsidR="00582C14" w:rsidRPr="0031141C" w:rsidRDefault="00CD51A8" w:rsidP="00CD51A8">
      <w:pPr>
        <w:ind w:left="720" w:hanging="720"/>
        <w:rPr>
          <w:rFonts w:ascii="Arial" w:hAnsi="Arial" w:cs="Arial"/>
        </w:rPr>
      </w:pPr>
      <w:r w:rsidRPr="00CD51A8">
        <w:rPr>
          <w:rFonts w:ascii="Arial" w:hAnsi="Arial" w:cs="Arial"/>
        </w:rPr>
        <w:t>4.7.5.</w:t>
      </w:r>
      <w:r w:rsidRPr="00CD51A8">
        <w:rPr>
          <w:rFonts w:ascii="Arial" w:hAnsi="Arial" w:cs="Arial"/>
        </w:rPr>
        <w:tab/>
        <w:t>If the answer to the previous question is “yes,” please describe how the trends have proven to be cyclical.</w:t>
      </w:r>
    </w:p>
    <w:p w:rsidR="00F67377" w:rsidRPr="0031141C" w:rsidRDefault="00F67377" w:rsidP="00F67377">
      <w:pPr>
        <w:rPr>
          <w:rFonts w:ascii="Arial" w:hAnsi="Arial" w:cs="Arial"/>
        </w:rPr>
      </w:pPr>
    </w:p>
    <w:p w:rsidR="00CD51A8" w:rsidRDefault="00CD51A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CD51A8">
        <w:rPr>
          <w:rFonts w:ascii="Arial" w:hAnsi="Arial" w:cs="Arial"/>
          <w:b/>
          <w:u w:val="single"/>
        </w:rPr>
        <w:t>4.</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B555DD" w:rsidRDefault="00B555DD" w:rsidP="00B555DD">
      <w:pPr>
        <w:ind w:left="720" w:hanging="720"/>
        <w:rPr>
          <w:rFonts w:ascii="Arial" w:hAnsi="Arial" w:cs="Arial"/>
        </w:rPr>
      </w:pPr>
      <w:r w:rsidRPr="000B47BE">
        <w:rPr>
          <w:rFonts w:ascii="Arial" w:hAnsi="Arial" w:cs="Arial"/>
        </w:rPr>
        <w:t>4.7.1</w:t>
      </w:r>
      <w:r>
        <w:rPr>
          <w:rFonts w:ascii="Arial" w:hAnsi="Arial" w:cs="Arial"/>
        </w:rPr>
        <w:t>: No, we have not observed a constant amount of load migration.</w:t>
      </w:r>
    </w:p>
    <w:p w:rsidR="00B555DD" w:rsidRDefault="00B555DD" w:rsidP="00B555DD">
      <w:pPr>
        <w:ind w:left="720" w:hanging="720"/>
        <w:rPr>
          <w:rFonts w:ascii="Arial" w:hAnsi="Arial" w:cs="Arial"/>
        </w:rPr>
      </w:pPr>
    </w:p>
    <w:p w:rsidR="00B555DD" w:rsidRDefault="00B555DD" w:rsidP="00B555DD">
      <w:pPr>
        <w:ind w:left="720" w:hanging="720"/>
        <w:rPr>
          <w:rFonts w:ascii="Arial" w:hAnsi="Arial" w:cs="Arial"/>
        </w:rPr>
      </w:pPr>
      <w:r>
        <w:rPr>
          <w:rFonts w:ascii="Arial" w:hAnsi="Arial" w:cs="Arial"/>
        </w:rPr>
        <w:t>4.7.2: No.</w:t>
      </w:r>
    </w:p>
    <w:p w:rsidR="00B555DD" w:rsidRDefault="00B555DD" w:rsidP="00B555DD">
      <w:pPr>
        <w:ind w:left="720" w:hanging="720"/>
        <w:rPr>
          <w:rFonts w:ascii="Arial" w:hAnsi="Arial" w:cs="Arial"/>
        </w:rPr>
      </w:pPr>
    </w:p>
    <w:p w:rsidR="00603034" w:rsidRDefault="00B555DD" w:rsidP="00B555DD">
      <w:pPr>
        <w:rPr>
          <w:rFonts w:ascii="Arial" w:hAnsi="Arial" w:cs="Arial"/>
        </w:rPr>
      </w:pPr>
      <w:r>
        <w:rPr>
          <w:rFonts w:ascii="Arial" w:hAnsi="Arial" w:cs="Arial"/>
        </w:rPr>
        <w:t>4.7.3:</w:t>
      </w:r>
      <w:r w:rsidRPr="00680C46">
        <w:rPr>
          <w:rFonts w:ascii="Arial" w:hAnsi="Arial" w:cs="Arial"/>
        </w:rPr>
        <w:t xml:space="preserve"> </w:t>
      </w:r>
      <w:r>
        <w:rPr>
          <w:rFonts w:ascii="Arial" w:hAnsi="Arial" w:cs="Arial"/>
        </w:rPr>
        <w:t xml:space="preserve">SoCalGas used the </w:t>
      </w:r>
      <w:r w:rsidR="00603034" w:rsidRPr="00603034">
        <w:rPr>
          <w:rFonts w:ascii="Arial" w:hAnsi="Arial" w:cs="Arial"/>
        </w:rPr>
        <w:t>EXCEL TREND function to do a calculation</w:t>
      </w:r>
      <w:r w:rsidR="001A2BF1">
        <w:rPr>
          <w:rFonts w:ascii="Arial" w:hAnsi="Arial" w:cs="Arial"/>
        </w:rPr>
        <w:t xml:space="preserve">. </w:t>
      </w:r>
      <w:r w:rsidR="00603034" w:rsidRPr="00603034">
        <w:rPr>
          <w:rFonts w:ascii="Arial" w:hAnsi="Arial" w:cs="Arial"/>
        </w:rPr>
        <w:t xml:space="preserve"> </w:t>
      </w:r>
      <w:r w:rsidR="001A2BF1">
        <w:rPr>
          <w:rFonts w:ascii="Arial" w:hAnsi="Arial" w:cs="Arial"/>
        </w:rPr>
        <w:t>T</w:t>
      </w:r>
      <w:r w:rsidR="00603034" w:rsidRPr="00603034">
        <w:rPr>
          <w:rFonts w:ascii="Arial" w:hAnsi="Arial" w:cs="Arial"/>
        </w:rPr>
        <w:t>he formula that was used</w:t>
      </w:r>
      <w:r w:rsidR="001A2BF1">
        <w:rPr>
          <w:rFonts w:ascii="Arial" w:hAnsi="Arial" w:cs="Arial"/>
        </w:rPr>
        <w:t xml:space="preserve"> was</w:t>
      </w:r>
      <w:r w:rsidR="00603034" w:rsidRPr="00603034">
        <w:rPr>
          <w:rFonts w:ascii="Arial" w:hAnsi="Arial" w:cs="Arial"/>
        </w:rPr>
        <w:t xml:space="preserve"> “=</w:t>
      </w:r>
      <w:proofErr w:type="gramStart"/>
      <w:r w:rsidR="00603034" w:rsidRPr="00603034">
        <w:rPr>
          <w:rFonts w:ascii="Arial" w:hAnsi="Arial" w:cs="Arial"/>
        </w:rPr>
        <w:t>TREND(</w:t>
      </w:r>
      <w:proofErr w:type="gramEnd"/>
      <w:r w:rsidR="00603034" w:rsidRPr="00603034">
        <w:rPr>
          <w:rFonts w:ascii="Arial" w:hAnsi="Arial" w:cs="Arial"/>
        </w:rPr>
        <w:t>C4:C10)” where the cell array “C4:C11” refers to the column-C, row#4-#10</w:t>
      </w:r>
      <w:r w:rsidR="00603034">
        <w:rPr>
          <w:rFonts w:ascii="Arial" w:hAnsi="Arial" w:cs="Arial"/>
        </w:rPr>
        <w:t xml:space="preserve"> of the table below.  </w:t>
      </w:r>
      <w:r w:rsidR="006F33F5">
        <w:rPr>
          <w:rFonts w:ascii="Arial" w:hAnsi="Arial" w:cs="Arial"/>
        </w:rPr>
        <w:t xml:space="preserve">The </w:t>
      </w:r>
      <w:r w:rsidR="00603034" w:rsidRPr="00603034">
        <w:rPr>
          <w:rFonts w:ascii="Arial" w:hAnsi="Arial" w:cs="Arial"/>
        </w:rPr>
        <w:t xml:space="preserve">TREND function formula above calculates the value 4,582,050 </w:t>
      </w:r>
      <w:proofErr w:type="spellStart"/>
      <w:r w:rsidR="00603034" w:rsidRPr="00603034">
        <w:rPr>
          <w:rFonts w:ascii="Arial" w:hAnsi="Arial" w:cs="Arial"/>
        </w:rPr>
        <w:t>Therms</w:t>
      </w:r>
      <w:proofErr w:type="spellEnd"/>
      <w:r w:rsidR="00603034">
        <w:rPr>
          <w:rFonts w:ascii="Arial" w:hAnsi="Arial" w:cs="Arial"/>
        </w:rPr>
        <w:t xml:space="preserve">. </w:t>
      </w:r>
      <w:r w:rsidR="00603034" w:rsidRPr="00603034">
        <w:rPr>
          <w:rFonts w:ascii="Arial" w:hAnsi="Arial" w:cs="Arial"/>
        </w:rPr>
        <w:t xml:space="preserve">The historical annual data for 2008 through 2014 show 4 years where the load is between 2.4 </w:t>
      </w:r>
      <w:proofErr w:type="spellStart"/>
      <w:r w:rsidR="00603034" w:rsidRPr="00603034">
        <w:rPr>
          <w:rFonts w:ascii="Arial" w:hAnsi="Arial" w:cs="Arial"/>
        </w:rPr>
        <w:t>MMTh</w:t>
      </w:r>
      <w:proofErr w:type="spellEnd"/>
      <w:r w:rsidR="00603034" w:rsidRPr="00603034">
        <w:rPr>
          <w:rFonts w:ascii="Arial" w:hAnsi="Arial" w:cs="Arial"/>
        </w:rPr>
        <w:t xml:space="preserve"> and 5.5 </w:t>
      </w:r>
      <w:proofErr w:type="spellStart"/>
      <w:r w:rsidR="00603034" w:rsidRPr="00603034">
        <w:rPr>
          <w:rFonts w:ascii="Arial" w:hAnsi="Arial" w:cs="Arial"/>
        </w:rPr>
        <w:t>MMTh</w:t>
      </w:r>
      <w:proofErr w:type="spellEnd"/>
      <w:r w:rsidR="00603034" w:rsidRPr="00603034">
        <w:rPr>
          <w:rFonts w:ascii="Arial" w:hAnsi="Arial" w:cs="Arial"/>
        </w:rPr>
        <w:t xml:space="preserve"> while there are three years</w:t>
      </w:r>
      <w:r w:rsidR="00603034">
        <w:rPr>
          <w:rFonts w:ascii="Arial" w:hAnsi="Arial" w:cs="Arial"/>
        </w:rPr>
        <w:t>, 2011-2013,</w:t>
      </w:r>
      <w:r w:rsidR="00603034" w:rsidRPr="00603034">
        <w:rPr>
          <w:rFonts w:ascii="Arial" w:hAnsi="Arial" w:cs="Arial"/>
        </w:rPr>
        <w:t xml:space="preserve"> where the load is 11.7 </w:t>
      </w:r>
      <w:proofErr w:type="spellStart"/>
      <w:r w:rsidR="00603034" w:rsidRPr="00603034">
        <w:rPr>
          <w:rFonts w:ascii="Arial" w:hAnsi="Arial" w:cs="Arial"/>
        </w:rPr>
        <w:t>MMTh</w:t>
      </w:r>
      <w:proofErr w:type="spellEnd"/>
      <w:r w:rsidR="00603034" w:rsidRPr="00603034">
        <w:rPr>
          <w:rFonts w:ascii="Arial" w:hAnsi="Arial" w:cs="Arial"/>
        </w:rPr>
        <w:t xml:space="preserve"> or greater.</w:t>
      </w:r>
      <w:r w:rsidR="00603034">
        <w:rPr>
          <w:rFonts w:ascii="Arial" w:hAnsi="Arial" w:cs="Arial"/>
        </w:rPr>
        <w:t xml:space="preserve">  </w:t>
      </w:r>
      <w:r w:rsidR="001A2BF1">
        <w:rPr>
          <w:rFonts w:ascii="Arial" w:hAnsi="Arial" w:cs="Arial"/>
        </w:rPr>
        <w:t>T</w:t>
      </w:r>
      <w:r w:rsidR="00603034">
        <w:rPr>
          <w:rFonts w:ascii="Arial" w:hAnsi="Arial" w:cs="Arial"/>
        </w:rPr>
        <w:t xml:space="preserve">he year 2014 value of 4,223,679 </w:t>
      </w:r>
      <w:proofErr w:type="spellStart"/>
      <w:r w:rsidR="00603034">
        <w:rPr>
          <w:rFonts w:ascii="Arial" w:hAnsi="Arial" w:cs="Arial"/>
        </w:rPr>
        <w:t>Therms</w:t>
      </w:r>
      <w:proofErr w:type="spellEnd"/>
      <w:r w:rsidR="00603034">
        <w:rPr>
          <w:rFonts w:ascii="Arial" w:hAnsi="Arial" w:cs="Arial"/>
        </w:rPr>
        <w:t xml:space="preserve"> suggested that the net Core to Noncore</w:t>
      </w:r>
      <w:r w:rsidR="006F33F5">
        <w:rPr>
          <w:rFonts w:ascii="Arial" w:hAnsi="Arial" w:cs="Arial"/>
        </w:rPr>
        <w:t xml:space="preserve"> (C2Nc)</w:t>
      </w:r>
      <w:r w:rsidR="00603034">
        <w:rPr>
          <w:rFonts w:ascii="Arial" w:hAnsi="Arial" w:cs="Arial"/>
        </w:rPr>
        <w:t xml:space="preserve"> migration h</w:t>
      </w:r>
      <w:r w:rsidR="001A2BF1">
        <w:rPr>
          <w:rFonts w:ascii="Arial" w:hAnsi="Arial" w:cs="Arial"/>
        </w:rPr>
        <w:t>a</w:t>
      </w:r>
      <w:r w:rsidR="00903308">
        <w:rPr>
          <w:rFonts w:ascii="Arial" w:hAnsi="Arial" w:cs="Arial"/>
        </w:rPr>
        <w:t>d</w:t>
      </w:r>
      <w:r w:rsidR="00603034">
        <w:rPr>
          <w:rFonts w:ascii="Arial" w:hAnsi="Arial" w:cs="Arial"/>
        </w:rPr>
        <w:t xml:space="preserve"> returned to </w:t>
      </w:r>
      <w:r w:rsidR="00B02E52">
        <w:rPr>
          <w:rFonts w:ascii="Arial" w:hAnsi="Arial" w:cs="Arial"/>
        </w:rPr>
        <w:t xml:space="preserve">a </w:t>
      </w:r>
      <w:r w:rsidR="00603034">
        <w:rPr>
          <w:rFonts w:ascii="Arial" w:hAnsi="Arial" w:cs="Arial"/>
        </w:rPr>
        <w:t xml:space="preserve">level for which our calculated value of </w:t>
      </w:r>
      <w:r w:rsidR="00603034" w:rsidRPr="00603034">
        <w:rPr>
          <w:rFonts w:ascii="Arial" w:hAnsi="Arial" w:cs="Arial"/>
        </w:rPr>
        <w:t xml:space="preserve">4,582,050 </w:t>
      </w:r>
      <w:proofErr w:type="spellStart"/>
      <w:r w:rsidR="00603034" w:rsidRPr="00603034">
        <w:rPr>
          <w:rFonts w:ascii="Arial" w:hAnsi="Arial" w:cs="Arial"/>
        </w:rPr>
        <w:t>Therms</w:t>
      </w:r>
      <w:proofErr w:type="spellEnd"/>
      <w:r w:rsidR="00603034">
        <w:rPr>
          <w:rFonts w:ascii="Arial" w:hAnsi="Arial" w:cs="Arial"/>
        </w:rPr>
        <w:t xml:space="preserve"> is a reasonable value</w:t>
      </w:r>
      <w:r w:rsidR="006F33F5">
        <w:rPr>
          <w:rFonts w:ascii="Arial" w:hAnsi="Arial" w:cs="Arial"/>
        </w:rPr>
        <w:t>. We used this value</w:t>
      </w:r>
      <w:r w:rsidR="00603034">
        <w:rPr>
          <w:rFonts w:ascii="Arial" w:hAnsi="Arial" w:cs="Arial"/>
        </w:rPr>
        <w:t xml:space="preserve"> as our</w:t>
      </w:r>
      <w:r w:rsidR="00F60874">
        <w:rPr>
          <w:rFonts w:ascii="Arial" w:hAnsi="Arial" w:cs="Arial"/>
        </w:rPr>
        <w:t xml:space="preserve"> forecast</w:t>
      </w:r>
      <w:r w:rsidR="00603034">
        <w:rPr>
          <w:rFonts w:ascii="Arial" w:hAnsi="Arial" w:cs="Arial"/>
        </w:rPr>
        <w:t>.</w:t>
      </w:r>
    </w:p>
    <w:p w:rsidR="00603034" w:rsidRDefault="00603034" w:rsidP="00B555DD">
      <w:pPr>
        <w:rPr>
          <w:rFonts w:ascii="Arial" w:hAnsi="Arial" w:cs="Arial"/>
        </w:rPr>
      </w:pPr>
    </w:p>
    <w:p w:rsidR="00603034" w:rsidRDefault="00603034" w:rsidP="00B555DD">
      <w:pPr>
        <w:rPr>
          <w:rFonts w:ascii="Arial" w:hAnsi="Arial" w:cs="Arial"/>
        </w:rPr>
      </w:pPr>
    </w:p>
    <w:p w:rsidR="00603034" w:rsidRPr="00603034" w:rsidRDefault="00603034" w:rsidP="00603034">
      <w:pPr>
        <w:ind w:left="360" w:firstLine="720"/>
        <w:rPr>
          <w:rFonts w:eastAsia="Calibri"/>
        </w:rPr>
      </w:pPr>
      <w:r w:rsidRPr="00603034">
        <w:rPr>
          <w:rFonts w:ascii="Calibri" w:eastAsia="Calibri" w:hAnsi="Calibri"/>
          <w:color w:val="1F497D"/>
          <w:sz w:val="22"/>
          <w:szCs w:val="22"/>
        </w:rPr>
        <w:t>Col A                    Col-B                 Col-C</w:t>
      </w:r>
    </w:p>
    <w:p w:rsidR="00603034" w:rsidRPr="00603034" w:rsidRDefault="00603034" w:rsidP="00603034">
      <w:pPr>
        <w:ind w:left="2160"/>
        <w:rPr>
          <w:rFonts w:eastAsia="Calibri"/>
        </w:rPr>
      </w:pPr>
      <w:r w:rsidRPr="00603034">
        <w:rPr>
          <w:rFonts w:ascii="Calibri" w:eastAsia="Calibri" w:hAnsi="Calibri"/>
          <w:color w:val="1F497D"/>
          <w:sz w:val="22"/>
          <w:szCs w:val="22"/>
        </w:rPr>
        <w:t xml:space="preserve">                </w:t>
      </w:r>
    </w:p>
    <w:tbl>
      <w:tblPr>
        <w:tblW w:w="4400" w:type="dxa"/>
        <w:tblCellMar>
          <w:left w:w="0" w:type="dxa"/>
          <w:right w:w="0" w:type="dxa"/>
        </w:tblCellMar>
        <w:tblLook w:val="04A0" w:firstRow="1" w:lastRow="0" w:firstColumn="1" w:lastColumn="0" w:noHBand="0" w:noVBand="1"/>
      </w:tblPr>
      <w:tblGrid>
        <w:gridCol w:w="960"/>
        <w:gridCol w:w="720"/>
        <w:gridCol w:w="1120"/>
        <w:gridCol w:w="1600"/>
      </w:tblGrid>
      <w:tr w:rsidR="00603034" w:rsidRPr="00603034" w:rsidTr="00603034">
        <w:trPr>
          <w:trHeight w:val="765"/>
        </w:trPr>
        <w:tc>
          <w:tcPr>
            <w:tcW w:w="960" w:type="dxa"/>
            <w:tcBorders>
              <w:top w:val="nil"/>
              <w:left w:val="nil"/>
              <w:bottom w:val="single" w:sz="8" w:space="0" w:color="auto"/>
              <w:right w:val="nil"/>
            </w:tcBorders>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 </w:t>
            </w:r>
          </w:p>
        </w:tc>
        <w:tc>
          <w:tcPr>
            <w:tcW w:w="720" w:type="dxa"/>
            <w:tcBorders>
              <w:top w:val="nil"/>
              <w:left w:val="nil"/>
              <w:bottom w:val="single" w:sz="8" w:space="0" w:color="auto"/>
              <w:right w:val="nil"/>
            </w:tcBorders>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b/>
                <w:bCs/>
                <w:sz w:val="20"/>
                <w:szCs w:val="20"/>
              </w:rPr>
              <w:t>Year #</w:t>
            </w:r>
          </w:p>
        </w:tc>
        <w:tc>
          <w:tcPr>
            <w:tcW w:w="1120" w:type="dxa"/>
            <w:tcBorders>
              <w:top w:val="nil"/>
              <w:left w:val="nil"/>
              <w:bottom w:val="single" w:sz="8" w:space="0" w:color="auto"/>
              <w:right w:val="nil"/>
            </w:tcBorders>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b/>
                <w:bCs/>
                <w:sz w:val="20"/>
                <w:szCs w:val="20"/>
              </w:rPr>
              <w:t>Year</w:t>
            </w:r>
          </w:p>
        </w:tc>
        <w:tc>
          <w:tcPr>
            <w:tcW w:w="1600" w:type="dxa"/>
            <w:tcBorders>
              <w:top w:val="nil"/>
              <w:left w:val="nil"/>
              <w:bottom w:val="single" w:sz="8" w:space="0" w:color="auto"/>
              <w:right w:val="nil"/>
            </w:tcBorders>
            <w:tcMar>
              <w:top w:w="0" w:type="dxa"/>
              <w:left w:w="108" w:type="dxa"/>
              <w:bottom w:w="0" w:type="dxa"/>
              <w:right w:w="108" w:type="dxa"/>
            </w:tcMar>
            <w:vAlign w:val="bottom"/>
            <w:hideMark/>
          </w:tcPr>
          <w:p w:rsidR="00603034" w:rsidRPr="00603034" w:rsidRDefault="007A65D9" w:rsidP="00B154FE">
            <w:pPr>
              <w:jc w:val="center"/>
              <w:rPr>
                <w:rFonts w:eastAsia="Calibri"/>
              </w:rPr>
            </w:pPr>
            <w:r>
              <w:rPr>
                <w:rFonts w:ascii="Arial" w:eastAsia="Calibri" w:hAnsi="Arial" w:cs="Arial"/>
                <w:b/>
                <w:bCs/>
                <w:sz w:val="20"/>
                <w:szCs w:val="20"/>
              </w:rPr>
              <w:t>TCAP Net C2NC</w:t>
            </w:r>
            <w:r w:rsidR="00603034" w:rsidRPr="00603034">
              <w:rPr>
                <w:rFonts w:ascii="Arial" w:eastAsia="Calibri" w:hAnsi="Arial" w:cs="Arial"/>
                <w:b/>
                <w:bCs/>
                <w:sz w:val="20"/>
                <w:szCs w:val="20"/>
              </w:rPr>
              <w:t xml:space="preserve"> </w:t>
            </w:r>
            <w:r w:rsidR="00B154FE">
              <w:rPr>
                <w:rFonts w:ascii="Arial" w:eastAsia="Calibri" w:hAnsi="Arial" w:cs="Arial"/>
                <w:b/>
                <w:bCs/>
                <w:sz w:val="20"/>
                <w:szCs w:val="20"/>
              </w:rPr>
              <w:t>(Historical Data</w:t>
            </w:r>
            <w:r>
              <w:rPr>
                <w:rFonts w:ascii="Arial" w:eastAsia="Calibri" w:hAnsi="Arial" w:cs="Arial"/>
                <w:b/>
                <w:bCs/>
                <w:sz w:val="20"/>
                <w:szCs w:val="20"/>
              </w:rPr>
              <w:t>-</w:t>
            </w:r>
            <w:proofErr w:type="spellStart"/>
            <w:r>
              <w:rPr>
                <w:rFonts w:ascii="Arial" w:eastAsia="Calibri" w:hAnsi="Arial" w:cs="Arial"/>
                <w:b/>
                <w:bCs/>
                <w:sz w:val="20"/>
                <w:szCs w:val="20"/>
              </w:rPr>
              <w:t>Therms</w:t>
            </w:r>
            <w:proofErr w:type="spellEnd"/>
            <w:r w:rsidR="00B154FE">
              <w:rPr>
                <w:rFonts w:ascii="Arial" w:eastAsia="Calibri" w:hAnsi="Arial" w:cs="Arial"/>
                <w:b/>
                <w:bCs/>
                <w:sz w:val="20"/>
                <w:szCs w:val="20"/>
              </w:rPr>
              <w:t>)</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row#4</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7</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2008</w:t>
            </w:r>
          </w:p>
        </w:tc>
        <w:tc>
          <w:tcPr>
            <w:tcW w:w="1600" w:type="dxa"/>
            <w:shd w:val="clear" w:color="auto" w:fill="FFC000"/>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2,396,889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row#5</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6</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2009</w:t>
            </w:r>
          </w:p>
        </w:tc>
        <w:tc>
          <w:tcPr>
            <w:tcW w:w="1600" w:type="dxa"/>
            <w:shd w:val="clear" w:color="auto" w:fill="FFC000"/>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5,473,200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row#6</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5</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2010</w:t>
            </w:r>
          </w:p>
        </w:tc>
        <w:tc>
          <w:tcPr>
            <w:tcW w:w="1600" w:type="dxa"/>
            <w:shd w:val="clear" w:color="auto" w:fill="FFC000"/>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4,706,904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row#7</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4</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2011</w:t>
            </w:r>
          </w:p>
        </w:tc>
        <w:tc>
          <w:tcPr>
            <w:tcW w:w="160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11,766,314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row#8</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3</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2012</w:t>
            </w:r>
          </w:p>
        </w:tc>
        <w:tc>
          <w:tcPr>
            <w:tcW w:w="160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19,548,088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row#9</w:t>
            </w:r>
          </w:p>
        </w:tc>
        <w:tc>
          <w:tcPr>
            <w:tcW w:w="7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w:t>
            </w:r>
          </w:p>
        </w:tc>
        <w:tc>
          <w:tcPr>
            <w:tcW w:w="112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2013</w:t>
            </w:r>
          </w:p>
        </w:tc>
        <w:tc>
          <w:tcPr>
            <w:tcW w:w="1600" w:type="dxa"/>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18,018,711 </w:t>
            </w:r>
          </w:p>
        </w:tc>
      </w:tr>
      <w:tr w:rsidR="00603034" w:rsidRPr="00603034" w:rsidTr="00603034">
        <w:trPr>
          <w:trHeight w:val="255"/>
        </w:trPr>
        <w:tc>
          <w:tcPr>
            <w:tcW w:w="960" w:type="dxa"/>
            <w:noWrap/>
            <w:tcMar>
              <w:top w:w="0" w:type="dxa"/>
              <w:left w:w="108" w:type="dxa"/>
              <w:bottom w:w="0" w:type="dxa"/>
              <w:right w:w="108" w:type="dxa"/>
            </w:tcMar>
            <w:vAlign w:val="bottom"/>
            <w:hideMark/>
          </w:tcPr>
          <w:p w:rsidR="00603034" w:rsidRPr="00603034" w:rsidRDefault="00603034" w:rsidP="00603034">
            <w:pPr>
              <w:rPr>
                <w:rFonts w:eastAsia="Calibri"/>
              </w:rPr>
            </w:pPr>
            <w:r w:rsidRPr="00603034">
              <w:rPr>
                <w:rFonts w:ascii="Arial" w:eastAsia="Calibri" w:hAnsi="Arial" w:cs="Arial"/>
                <w:sz w:val="20"/>
                <w:szCs w:val="20"/>
              </w:rPr>
              <w:t>row#10</w:t>
            </w:r>
          </w:p>
        </w:tc>
        <w:tc>
          <w:tcPr>
            <w:tcW w:w="720" w:type="dxa"/>
            <w:tcBorders>
              <w:top w:val="nil"/>
              <w:left w:val="nil"/>
              <w:bottom w:val="single" w:sz="8" w:space="0" w:color="auto"/>
              <w:right w:val="nil"/>
            </w:tcBorders>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1</w:t>
            </w:r>
          </w:p>
        </w:tc>
        <w:tc>
          <w:tcPr>
            <w:tcW w:w="1120" w:type="dxa"/>
            <w:tcBorders>
              <w:top w:val="nil"/>
              <w:left w:val="nil"/>
              <w:bottom w:val="single" w:sz="8" w:space="0" w:color="auto"/>
              <w:right w:val="nil"/>
            </w:tcBorders>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2014</w:t>
            </w:r>
          </w:p>
        </w:tc>
        <w:tc>
          <w:tcPr>
            <w:tcW w:w="1600" w:type="dxa"/>
            <w:tcBorders>
              <w:top w:val="nil"/>
              <w:left w:val="nil"/>
              <w:bottom w:val="single" w:sz="8" w:space="0" w:color="auto"/>
              <w:right w:val="nil"/>
            </w:tcBorders>
            <w:shd w:val="clear" w:color="auto" w:fill="FFC000"/>
            <w:noWrap/>
            <w:tcMar>
              <w:top w:w="0" w:type="dxa"/>
              <w:left w:w="108" w:type="dxa"/>
              <w:bottom w:w="0" w:type="dxa"/>
              <w:right w:w="108" w:type="dxa"/>
            </w:tcMar>
            <w:vAlign w:val="bottom"/>
            <w:hideMark/>
          </w:tcPr>
          <w:p w:rsidR="00603034" w:rsidRPr="00603034" w:rsidRDefault="00603034" w:rsidP="00603034">
            <w:pPr>
              <w:jc w:val="center"/>
              <w:rPr>
                <w:rFonts w:eastAsia="Calibri"/>
              </w:rPr>
            </w:pPr>
            <w:r w:rsidRPr="00603034">
              <w:rPr>
                <w:rFonts w:ascii="Arial" w:eastAsia="Calibri" w:hAnsi="Arial" w:cs="Arial"/>
                <w:sz w:val="20"/>
                <w:szCs w:val="20"/>
              </w:rPr>
              <w:t xml:space="preserve">4,223,679 </w:t>
            </w:r>
          </w:p>
        </w:tc>
      </w:tr>
    </w:tbl>
    <w:p w:rsidR="00603034" w:rsidRPr="00603034" w:rsidRDefault="00603034" w:rsidP="00603034">
      <w:pPr>
        <w:ind w:left="2160"/>
        <w:rPr>
          <w:rFonts w:eastAsia="Calibri"/>
        </w:rPr>
      </w:pPr>
      <w:r w:rsidRPr="00603034">
        <w:rPr>
          <w:rFonts w:ascii="Calibri" w:eastAsia="Calibri" w:hAnsi="Calibri"/>
          <w:color w:val="1F497D"/>
          <w:sz w:val="22"/>
          <w:szCs w:val="22"/>
        </w:rPr>
        <w:t> </w:t>
      </w:r>
    </w:p>
    <w:p w:rsidR="00F67377" w:rsidRDefault="00B555DD" w:rsidP="00B555DD">
      <w:pPr>
        <w:rPr>
          <w:rFonts w:ascii="Arial" w:hAnsi="Arial" w:cs="Arial"/>
          <w:sz w:val="28"/>
          <w:szCs w:val="28"/>
        </w:rPr>
      </w:pPr>
      <w:r>
        <w:rPr>
          <w:rFonts w:ascii="Arial" w:hAnsi="Arial" w:cs="Arial"/>
        </w:rPr>
        <w:br/>
      </w:r>
    </w:p>
    <w:p w:rsidR="00B555DD" w:rsidRDefault="00B555DD" w:rsidP="00B555DD">
      <w:pPr>
        <w:ind w:left="720" w:hanging="720"/>
        <w:rPr>
          <w:rFonts w:ascii="Arial" w:hAnsi="Arial" w:cs="Arial"/>
        </w:rPr>
      </w:pPr>
      <w:r>
        <w:rPr>
          <w:rFonts w:ascii="Arial" w:hAnsi="Arial" w:cs="Arial"/>
        </w:rPr>
        <w:t>4.7.4: No, we have not observed a cyclical rate of movement.</w:t>
      </w:r>
      <w:r w:rsidRPr="00EB6634">
        <w:rPr>
          <w:rFonts w:ascii="Arial" w:hAnsi="Arial" w:cs="Arial"/>
        </w:rPr>
        <w:t xml:space="preserve"> </w:t>
      </w:r>
      <w:r>
        <w:rPr>
          <w:rFonts w:ascii="Arial" w:hAnsi="Arial" w:cs="Arial"/>
        </w:rPr>
        <w:t>There was a significant increase in the 2011 thru 2013 period</w:t>
      </w:r>
      <w:r w:rsidR="00F60874">
        <w:rPr>
          <w:rFonts w:ascii="Arial" w:hAnsi="Arial" w:cs="Arial"/>
        </w:rPr>
        <w:t xml:space="preserve"> as noted above.</w:t>
      </w:r>
    </w:p>
    <w:p w:rsidR="00F60874" w:rsidRDefault="00F60874" w:rsidP="00B555DD">
      <w:pPr>
        <w:ind w:left="720" w:hanging="720"/>
        <w:rPr>
          <w:rFonts w:ascii="Arial" w:hAnsi="Arial" w:cs="Arial"/>
        </w:rPr>
      </w:pPr>
    </w:p>
    <w:p w:rsidR="00B555DD" w:rsidRPr="000B47BE" w:rsidRDefault="00B555DD" w:rsidP="00B555DD">
      <w:pPr>
        <w:ind w:left="720" w:hanging="720"/>
        <w:rPr>
          <w:rFonts w:ascii="Arial" w:hAnsi="Arial" w:cs="Arial"/>
        </w:rPr>
      </w:pPr>
      <w:r>
        <w:rPr>
          <w:rFonts w:ascii="Arial" w:hAnsi="Arial" w:cs="Arial"/>
        </w:rPr>
        <w:t>4.7.5: N/A</w:t>
      </w:r>
    </w:p>
    <w:p w:rsidR="00B555DD" w:rsidRDefault="00B555DD" w:rsidP="00B555DD">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sidR="00CD51A8">
        <w:rPr>
          <w:rFonts w:ascii="Arial" w:hAnsi="Arial" w:cs="Arial"/>
          <w:b/>
          <w:u w:val="single"/>
        </w:rPr>
        <w:t>4.</w:t>
      </w:r>
      <w:r>
        <w:rPr>
          <w:rFonts w:ascii="Arial" w:hAnsi="Arial" w:cs="Arial"/>
          <w:b/>
          <w:u w:val="single"/>
        </w:rPr>
        <w:t>8</w:t>
      </w:r>
      <w:r w:rsidRPr="00F759E8">
        <w:rPr>
          <w:rFonts w:ascii="Arial" w:hAnsi="Arial" w:cs="Arial"/>
          <w:b/>
          <w:u w:val="single"/>
        </w:rPr>
        <w:t>:</w:t>
      </w:r>
    </w:p>
    <w:p w:rsidR="00F67377" w:rsidRPr="0031141C" w:rsidRDefault="00F67377" w:rsidP="00F67377">
      <w:pPr>
        <w:rPr>
          <w:rFonts w:ascii="Arial" w:hAnsi="Arial" w:cs="Arial"/>
        </w:rPr>
      </w:pPr>
    </w:p>
    <w:p w:rsidR="00CD51A8" w:rsidRPr="00CD51A8" w:rsidRDefault="00CD51A8" w:rsidP="00CD51A8">
      <w:pPr>
        <w:rPr>
          <w:rFonts w:ascii="Arial" w:hAnsi="Arial" w:cs="Arial"/>
        </w:rPr>
      </w:pPr>
      <w:r w:rsidRPr="00CD51A8">
        <w:rPr>
          <w:rFonts w:ascii="Arial" w:hAnsi="Arial" w:cs="Arial"/>
        </w:rPr>
        <w:t xml:space="preserve">Regarding the price elasticity and employment elasticity figures shown on page 95 of Wetzel </w:t>
      </w:r>
      <w:proofErr w:type="spellStart"/>
      <w:r w:rsidRPr="00CD51A8">
        <w:rPr>
          <w:rFonts w:ascii="Arial" w:hAnsi="Arial" w:cs="Arial"/>
        </w:rPr>
        <w:t>Workpapers</w:t>
      </w:r>
      <w:proofErr w:type="spellEnd"/>
      <w:r w:rsidRPr="00CD51A8">
        <w:rPr>
          <w:rFonts w:ascii="Arial" w:hAnsi="Arial" w:cs="Arial"/>
        </w:rPr>
        <w:t>:</w:t>
      </w:r>
    </w:p>
    <w:p w:rsidR="00CD51A8" w:rsidRDefault="00CD51A8" w:rsidP="00CD51A8">
      <w:pPr>
        <w:rPr>
          <w:rFonts w:ascii="Arial" w:hAnsi="Arial" w:cs="Arial"/>
        </w:rPr>
      </w:pPr>
    </w:p>
    <w:p w:rsidR="00CD51A8" w:rsidRPr="00CD51A8" w:rsidRDefault="00CD51A8" w:rsidP="00CD51A8">
      <w:pPr>
        <w:rPr>
          <w:rFonts w:ascii="Arial" w:hAnsi="Arial" w:cs="Arial"/>
        </w:rPr>
      </w:pPr>
      <w:r w:rsidRPr="00CD51A8">
        <w:rPr>
          <w:rFonts w:ascii="Arial" w:hAnsi="Arial" w:cs="Arial"/>
        </w:rPr>
        <w:t>4.8.1.</w:t>
      </w:r>
      <w:r w:rsidRPr="00CD51A8">
        <w:rPr>
          <w:rFonts w:ascii="Arial" w:hAnsi="Arial" w:cs="Arial"/>
        </w:rPr>
        <w:tab/>
        <w:t>Did SoCalGas derive these elasticity figures?</w:t>
      </w:r>
    </w:p>
    <w:p w:rsidR="00CD51A8" w:rsidRDefault="00CD51A8" w:rsidP="00CD51A8">
      <w:pPr>
        <w:rPr>
          <w:rFonts w:ascii="Arial" w:hAnsi="Arial" w:cs="Arial"/>
        </w:rPr>
      </w:pPr>
    </w:p>
    <w:p w:rsidR="00CD51A8" w:rsidRDefault="00CD51A8" w:rsidP="00CD51A8">
      <w:pPr>
        <w:rPr>
          <w:rFonts w:ascii="Arial" w:hAnsi="Arial" w:cs="Arial"/>
        </w:rPr>
      </w:pPr>
      <w:r w:rsidRPr="00CD51A8">
        <w:rPr>
          <w:rFonts w:ascii="Arial" w:hAnsi="Arial" w:cs="Arial"/>
        </w:rPr>
        <w:t>4.8.2.</w:t>
      </w:r>
      <w:r w:rsidRPr="00CD51A8">
        <w:rPr>
          <w:rFonts w:ascii="Arial" w:hAnsi="Arial" w:cs="Arial"/>
        </w:rPr>
        <w:tab/>
        <w:t xml:space="preserve">If SoCalGas derived these figures, please provide a detailed description of the study </w:t>
      </w:r>
    </w:p>
    <w:p w:rsidR="00CD51A8" w:rsidRPr="00CD51A8" w:rsidRDefault="00CD51A8" w:rsidP="00CD51A8">
      <w:pPr>
        <w:ind w:firstLine="720"/>
        <w:rPr>
          <w:rFonts w:ascii="Arial" w:hAnsi="Arial" w:cs="Arial"/>
        </w:rPr>
      </w:pPr>
      <w:proofErr w:type="gramStart"/>
      <w:r w:rsidRPr="00CD51A8">
        <w:rPr>
          <w:rFonts w:ascii="Arial" w:hAnsi="Arial" w:cs="Arial"/>
        </w:rPr>
        <w:t>that</w:t>
      </w:r>
      <w:proofErr w:type="gramEnd"/>
      <w:r w:rsidRPr="00CD51A8">
        <w:rPr>
          <w:rFonts w:ascii="Arial" w:hAnsi="Arial" w:cs="Arial"/>
        </w:rPr>
        <w:t xml:space="preserve"> SoCalGas conducted.</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4.8.3.</w:t>
      </w:r>
      <w:r w:rsidRPr="00CD51A8">
        <w:rPr>
          <w:rFonts w:ascii="Arial" w:hAnsi="Arial" w:cs="Arial"/>
        </w:rPr>
        <w:tab/>
        <w:t>If the answer to Q.4.8.1 is “no,” is SoCalGas relying upon outside studies as a basis for these figures?</w:t>
      </w:r>
    </w:p>
    <w:p w:rsidR="00CD51A8" w:rsidRDefault="00CD51A8" w:rsidP="00CD51A8">
      <w:pPr>
        <w:rPr>
          <w:rFonts w:ascii="Arial" w:hAnsi="Arial" w:cs="Arial"/>
        </w:rPr>
      </w:pPr>
    </w:p>
    <w:p w:rsidR="00582C14" w:rsidRPr="0031141C" w:rsidRDefault="00CD51A8" w:rsidP="00CD51A8">
      <w:pPr>
        <w:ind w:left="720" w:hanging="720"/>
        <w:rPr>
          <w:rFonts w:ascii="Arial" w:hAnsi="Arial" w:cs="Arial"/>
        </w:rPr>
      </w:pPr>
      <w:r w:rsidRPr="00CD51A8">
        <w:rPr>
          <w:rFonts w:ascii="Arial" w:hAnsi="Arial" w:cs="Arial"/>
        </w:rPr>
        <w:t>4.8.4.</w:t>
      </w:r>
      <w:r w:rsidRPr="00CD51A8">
        <w:rPr>
          <w:rFonts w:ascii="Arial" w:hAnsi="Arial" w:cs="Arial"/>
        </w:rPr>
        <w:tab/>
        <w:t>If the answer to the previous question is “yes,” please identify the studies relied upon and provide a citation to the portion of the study providing the elasticities.</w:t>
      </w:r>
    </w:p>
    <w:p w:rsidR="00F67377" w:rsidRPr="0031141C" w:rsidRDefault="00F67377" w:rsidP="00F67377">
      <w:pPr>
        <w:rPr>
          <w:rFonts w:ascii="Arial" w:hAnsi="Arial" w:cs="Arial"/>
        </w:rPr>
      </w:pPr>
    </w:p>
    <w:p w:rsidR="00CD51A8" w:rsidRDefault="00CD51A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CD51A8">
        <w:rPr>
          <w:rFonts w:ascii="Arial" w:hAnsi="Arial" w:cs="Arial"/>
          <w:b/>
          <w:u w:val="single"/>
        </w:rPr>
        <w:t>4.</w:t>
      </w:r>
      <w:r>
        <w:rPr>
          <w:rFonts w:ascii="Arial" w:hAnsi="Arial" w:cs="Arial"/>
          <w:b/>
          <w:u w:val="single"/>
        </w:rPr>
        <w:t>8</w:t>
      </w:r>
      <w:r w:rsidRPr="00F759E8">
        <w:rPr>
          <w:rFonts w:ascii="Arial" w:hAnsi="Arial" w:cs="Arial"/>
          <w:b/>
          <w:u w:val="single"/>
        </w:rPr>
        <w:t>:</w:t>
      </w:r>
    </w:p>
    <w:p w:rsidR="00F67377" w:rsidRDefault="00F67377" w:rsidP="005C6E7A">
      <w:pPr>
        <w:rPr>
          <w:rFonts w:ascii="Arial" w:hAnsi="Arial" w:cs="Arial"/>
          <w:sz w:val="28"/>
          <w:szCs w:val="28"/>
        </w:rPr>
      </w:pPr>
    </w:p>
    <w:p w:rsidR="008D57B3" w:rsidRPr="00CD51A8" w:rsidRDefault="008D57B3" w:rsidP="008D57B3">
      <w:pPr>
        <w:rPr>
          <w:rFonts w:ascii="Arial" w:hAnsi="Arial" w:cs="Arial"/>
        </w:rPr>
      </w:pPr>
      <w:r w:rsidRPr="00CD51A8">
        <w:rPr>
          <w:rFonts w:ascii="Arial" w:hAnsi="Arial" w:cs="Arial"/>
        </w:rPr>
        <w:t>4.8.1.</w:t>
      </w:r>
      <w:r w:rsidRPr="00CD51A8">
        <w:rPr>
          <w:rFonts w:ascii="Arial" w:hAnsi="Arial" w:cs="Arial"/>
        </w:rPr>
        <w:tab/>
      </w:r>
      <w:r>
        <w:rPr>
          <w:rFonts w:ascii="Arial" w:hAnsi="Arial" w:cs="Arial"/>
        </w:rPr>
        <w:t xml:space="preserve">Yes, </w:t>
      </w:r>
      <w:r w:rsidRPr="00CD51A8">
        <w:rPr>
          <w:rFonts w:ascii="Arial" w:hAnsi="Arial" w:cs="Arial"/>
        </w:rPr>
        <w:t>SoCalGas derive</w:t>
      </w:r>
      <w:r>
        <w:rPr>
          <w:rFonts w:ascii="Arial" w:hAnsi="Arial" w:cs="Arial"/>
        </w:rPr>
        <w:t>d these elasticity figures.</w:t>
      </w:r>
    </w:p>
    <w:p w:rsidR="008D57B3" w:rsidRDefault="008D57B3" w:rsidP="008D57B3">
      <w:pPr>
        <w:rPr>
          <w:rFonts w:ascii="Arial" w:hAnsi="Arial" w:cs="Arial"/>
        </w:rPr>
      </w:pPr>
    </w:p>
    <w:p w:rsidR="008D57B3" w:rsidRDefault="008D57B3" w:rsidP="008D57B3">
      <w:pPr>
        <w:rPr>
          <w:rFonts w:ascii="Arial" w:hAnsi="Arial" w:cs="Arial"/>
        </w:rPr>
      </w:pPr>
      <w:r w:rsidRPr="00CD51A8">
        <w:rPr>
          <w:rFonts w:ascii="Arial" w:hAnsi="Arial" w:cs="Arial"/>
        </w:rPr>
        <w:t>4.8.2.</w:t>
      </w:r>
      <w:r w:rsidRPr="00CD51A8">
        <w:rPr>
          <w:rFonts w:ascii="Arial" w:hAnsi="Arial" w:cs="Arial"/>
        </w:rPr>
        <w:tab/>
      </w:r>
      <w:r w:rsidRPr="004D3360">
        <w:rPr>
          <w:rFonts w:ascii="Arial" w:hAnsi="Arial" w:cs="Arial"/>
        </w:rPr>
        <w:t>Gas price elasticities used in the noncore I</w:t>
      </w:r>
      <w:r>
        <w:rPr>
          <w:rFonts w:ascii="Arial" w:hAnsi="Arial" w:cs="Arial"/>
        </w:rPr>
        <w:t>ndustrial</w:t>
      </w:r>
      <w:r w:rsidRPr="004D3360">
        <w:rPr>
          <w:rFonts w:ascii="Arial" w:hAnsi="Arial" w:cs="Arial"/>
        </w:rPr>
        <w:t xml:space="preserve"> end-use models were calculated from </w:t>
      </w:r>
      <w:r>
        <w:rPr>
          <w:rFonts w:ascii="Arial" w:hAnsi="Arial" w:cs="Arial"/>
        </w:rPr>
        <w:t xml:space="preserve">historical </w:t>
      </w:r>
      <w:r w:rsidRPr="004D3360">
        <w:rPr>
          <w:rFonts w:ascii="Arial" w:hAnsi="Arial" w:cs="Arial"/>
        </w:rPr>
        <w:t>consumption data for th</w:t>
      </w:r>
      <w:r>
        <w:rPr>
          <w:rFonts w:ascii="Arial" w:hAnsi="Arial" w:cs="Arial"/>
        </w:rPr>
        <w:t>is</w:t>
      </w:r>
      <w:r w:rsidRPr="004D3360">
        <w:rPr>
          <w:rFonts w:ascii="Arial" w:hAnsi="Arial" w:cs="Arial"/>
        </w:rPr>
        <w:t xml:space="preserve"> market segment.  Statistical regression methods (Ordinary Least Squares) were used to do the estimation.  For each of the industrial sector</w:t>
      </w:r>
      <w:r w:rsidR="001A2BF1">
        <w:rPr>
          <w:rFonts w:ascii="Arial" w:hAnsi="Arial" w:cs="Arial"/>
        </w:rPr>
        <w:t>s</w:t>
      </w:r>
      <w:r w:rsidRPr="004D3360">
        <w:rPr>
          <w:rFonts w:ascii="Arial" w:hAnsi="Arial" w:cs="Arial"/>
        </w:rPr>
        <w:t>, analyses were conducted by each relevant business type; these individual gas price elasticity estimates were then aggregated by calculating a consumption-weighted average value for noncore industrial sector.</w:t>
      </w:r>
    </w:p>
    <w:p w:rsidR="005C6DFA" w:rsidRDefault="005C6DFA" w:rsidP="008D57B3">
      <w:pPr>
        <w:rPr>
          <w:rFonts w:ascii="Arial" w:hAnsi="Arial" w:cs="Arial"/>
        </w:rPr>
      </w:pPr>
    </w:p>
    <w:p w:rsidR="005C6DFA" w:rsidRDefault="005C6DFA" w:rsidP="008D57B3">
      <w:pPr>
        <w:rPr>
          <w:rFonts w:ascii="Arial" w:hAnsi="Arial" w:cs="Arial"/>
        </w:rPr>
      </w:pPr>
      <w:r>
        <w:rPr>
          <w:rFonts w:ascii="Arial" w:hAnsi="Arial" w:cs="Arial"/>
        </w:rPr>
        <w:tab/>
        <w:t>The attached “.pdf” file provides the results for the noncore industrial (non-refinery) segment by business type:</w:t>
      </w:r>
    </w:p>
    <w:p w:rsidR="005C6DFA" w:rsidRDefault="005C6DFA" w:rsidP="008D57B3">
      <w:pPr>
        <w:rPr>
          <w:rFonts w:ascii="Arial" w:hAnsi="Arial" w:cs="Arial"/>
        </w:rPr>
      </w:pPr>
    </w:p>
    <w:p w:rsidR="005C6DFA" w:rsidRDefault="005C6DFA" w:rsidP="008D57B3">
      <w:pPr>
        <w:rPr>
          <w:rFonts w:ascii="Arial" w:hAnsi="Arial" w:cs="Arial"/>
        </w:rPr>
      </w:pPr>
      <w:r>
        <w:rPr>
          <w:rFonts w:ascii="Arial" w:hAnsi="Arial" w:cs="Arial"/>
        </w:rPr>
        <w:tab/>
      </w:r>
      <w:r>
        <w:rPr>
          <w:rFonts w:ascii="Arial" w:hAnsi="Arial" w:cs="Arial"/>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5pt" o:ole="">
            <v:imagedata r:id="rId9" o:title=""/>
          </v:shape>
          <o:OLEObject Type="Embed" ProgID="Acrobat.Document.11" ShapeID="_x0000_i1025" DrawAspect="Icon" ObjectID="_1514955558" r:id="rId10"/>
        </w:object>
      </w:r>
    </w:p>
    <w:p w:rsidR="005C6DFA" w:rsidRDefault="005C6DFA">
      <w:pPr>
        <w:rPr>
          <w:rFonts w:ascii="Arial" w:hAnsi="Arial" w:cs="Arial"/>
        </w:rPr>
      </w:pPr>
      <w:r>
        <w:rPr>
          <w:rFonts w:ascii="Arial" w:hAnsi="Arial" w:cs="Arial"/>
        </w:rPr>
        <w:br w:type="page"/>
      </w:r>
    </w:p>
    <w:p w:rsidR="005C6DFA" w:rsidRDefault="005C6DFA" w:rsidP="008D57B3">
      <w:pPr>
        <w:rPr>
          <w:rFonts w:ascii="Arial" w:hAnsi="Arial" w:cs="Arial"/>
        </w:rPr>
      </w:pPr>
    </w:p>
    <w:p w:rsidR="008D57B3" w:rsidRPr="004D3360" w:rsidRDefault="008D57B3" w:rsidP="008D57B3">
      <w:pPr>
        <w:rPr>
          <w:rFonts w:ascii="Arial" w:hAnsi="Arial" w:cs="Arial"/>
        </w:rPr>
      </w:pPr>
    </w:p>
    <w:p w:rsidR="008D57B3" w:rsidRDefault="008D57B3" w:rsidP="008D57B3">
      <w:pPr>
        <w:rPr>
          <w:rFonts w:ascii="Arial" w:hAnsi="Arial" w:cs="Arial"/>
        </w:rPr>
      </w:pPr>
      <w:r w:rsidRPr="004D3360">
        <w:rPr>
          <w:rFonts w:ascii="Arial" w:hAnsi="Arial" w:cs="Arial"/>
        </w:rPr>
        <w:tab/>
        <w:t>The attached EXCEL workbook file has separate worksheet tabs that provide the summaries of the estimated gas price elasticities and the respective consumption-weighted calculations.</w:t>
      </w:r>
      <w:r w:rsidR="005C6DFA">
        <w:rPr>
          <w:rFonts w:ascii="Arial" w:hAnsi="Arial" w:cs="Arial"/>
        </w:rPr>
        <w:t xml:space="preserve">  This EXCEL workbook provides two examples for how the regressions were done:</w:t>
      </w:r>
    </w:p>
    <w:p w:rsidR="005C6DFA" w:rsidRDefault="005C6DFA" w:rsidP="008D57B3">
      <w:pPr>
        <w:rPr>
          <w:rFonts w:ascii="Arial" w:hAnsi="Arial" w:cs="Arial"/>
        </w:rPr>
      </w:pPr>
    </w:p>
    <w:p w:rsidR="005C6DFA" w:rsidRDefault="005C6DFA" w:rsidP="008D57B3">
      <w:pPr>
        <w:rPr>
          <w:rFonts w:ascii="Arial" w:hAnsi="Arial" w:cs="Arial"/>
        </w:rPr>
      </w:pPr>
      <w:r>
        <w:rPr>
          <w:rFonts w:ascii="Arial" w:hAnsi="Arial" w:cs="Arial"/>
        </w:rPr>
        <w:tab/>
      </w:r>
      <w:r w:rsidR="00A0781E">
        <w:rPr>
          <w:rFonts w:ascii="Arial" w:hAnsi="Arial" w:cs="Arial"/>
        </w:rPr>
        <w:object w:dxaOrig="1531" w:dyaOrig="990">
          <v:shape id="_x0000_i1026" type="#_x0000_t75" style="width:76.3pt;height:49.45pt" o:ole="">
            <v:imagedata r:id="rId11" o:title=""/>
          </v:shape>
          <o:OLEObject Type="Embed" ProgID="Excel.Sheet.8" ShapeID="_x0000_i1026" DrawAspect="Icon" ObjectID="_1514955559" r:id="rId12"/>
        </w:object>
      </w:r>
    </w:p>
    <w:p w:rsidR="005C6DFA" w:rsidRDefault="005C6DFA" w:rsidP="008D57B3">
      <w:pPr>
        <w:rPr>
          <w:rFonts w:ascii="Arial" w:hAnsi="Arial" w:cs="Arial"/>
        </w:rPr>
      </w:pPr>
    </w:p>
    <w:p w:rsidR="008D57B3" w:rsidRDefault="008D57B3" w:rsidP="008D57B3">
      <w:pPr>
        <w:rPr>
          <w:rFonts w:ascii="Arial" w:hAnsi="Arial" w:cs="Arial"/>
        </w:rPr>
      </w:pPr>
    </w:p>
    <w:p w:rsidR="008D57B3" w:rsidRDefault="008D57B3" w:rsidP="008D57B3">
      <w:pPr>
        <w:rPr>
          <w:rFonts w:ascii="Arial" w:hAnsi="Arial" w:cs="Arial"/>
        </w:rPr>
      </w:pPr>
    </w:p>
    <w:p w:rsidR="008D57B3" w:rsidRDefault="008D57B3" w:rsidP="008D57B3">
      <w:pPr>
        <w:rPr>
          <w:rFonts w:ascii="Arial" w:hAnsi="Arial" w:cs="Arial"/>
        </w:rPr>
      </w:pPr>
      <w:r>
        <w:rPr>
          <w:rFonts w:ascii="Arial" w:hAnsi="Arial" w:cs="Arial"/>
        </w:rPr>
        <w:tab/>
      </w:r>
      <w:proofErr w:type="gramStart"/>
      <w:r w:rsidRPr="00DE5569">
        <w:rPr>
          <w:rFonts w:ascii="Arial" w:hAnsi="Arial" w:cs="Arial"/>
        </w:rPr>
        <w:t>An overall</w:t>
      </w:r>
      <w:proofErr w:type="gramEnd"/>
      <w:r w:rsidRPr="00DE5569">
        <w:rPr>
          <w:rFonts w:ascii="Arial" w:hAnsi="Arial" w:cs="Arial"/>
        </w:rPr>
        <w:t xml:space="preserve"> employment elasticity was used for the noncore C&amp;I in each respective end-use model.  The value used was +0.474 and was calculated from the data analysis performed for a prior SoCalGas regulatory filing (the filing was for SoCalGas’ 2005 BCAP which was initially filed, but then withdrawn).</w:t>
      </w:r>
    </w:p>
    <w:p w:rsidR="008D57B3" w:rsidRDefault="008D57B3" w:rsidP="008D57B3">
      <w:pPr>
        <w:rPr>
          <w:rFonts w:ascii="Arial" w:hAnsi="Arial" w:cs="Arial"/>
          <w:sz w:val="28"/>
          <w:szCs w:val="28"/>
        </w:rPr>
      </w:pPr>
      <w:r>
        <w:rPr>
          <w:rFonts w:ascii="Arial" w:hAnsi="Arial" w:cs="Arial"/>
        </w:rPr>
        <w:tab/>
      </w:r>
      <w:r w:rsidRPr="00DE5569">
        <w:rPr>
          <w:rFonts w:ascii="Arial" w:hAnsi="Arial" w:cs="Arial"/>
        </w:rPr>
        <w:t>Below is a copy of the documentation provided as work papers for the intended witness for the noncore C&amp;I markets in SoCalGas’ 2005 BCAP.  The employment elasticity value that was estimated is shown on the 20th page of this attachment file.  It is the “Parameter Estimate” for the “Variable” named LEMP; the value calculated is shown there as “0.474177”</w:t>
      </w:r>
    </w:p>
    <w:p w:rsidR="008D57B3" w:rsidRDefault="008D57B3" w:rsidP="008D57B3">
      <w:pPr>
        <w:rPr>
          <w:rFonts w:ascii="Arial" w:hAnsi="Arial" w:cs="Arial"/>
          <w:sz w:val="28"/>
          <w:szCs w:val="28"/>
        </w:rPr>
      </w:pPr>
    </w:p>
    <w:p w:rsidR="008D57B3" w:rsidRDefault="008D57B3" w:rsidP="008D57B3">
      <w:pPr>
        <w:rPr>
          <w:rFonts w:ascii="Arial" w:hAnsi="Arial" w:cs="Arial"/>
          <w:sz w:val="28"/>
          <w:szCs w:val="28"/>
        </w:rPr>
      </w:pPr>
      <w:r>
        <w:rPr>
          <w:rFonts w:ascii="Arial" w:hAnsi="Arial" w:cs="Arial"/>
          <w:sz w:val="28"/>
          <w:szCs w:val="28"/>
        </w:rPr>
        <w:tab/>
      </w:r>
      <w:r>
        <w:rPr>
          <w:rFonts w:ascii="Arial" w:hAnsi="Arial" w:cs="Arial"/>
          <w:sz w:val="28"/>
          <w:szCs w:val="28"/>
        </w:rPr>
        <w:object w:dxaOrig="1531" w:dyaOrig="990">
          <v:shape id="_x0000_i1027" type="#_x0000_t75" style="width:76.3pt;height:49.45pt" o:ole="">
            <v:imagedata r:id="rId13" o:title=""/>
          </v:shape>
          <o:OLEObject Type="Embed" ProgID="Acrobat.Document.11" ShapeID="_x0000_i1027" DrawAspect="Icon" ObjectID="_1514955560" r:id="rId14"/>
        </w:object>
      </w:r>
    </w:p>
    <w:p w:rsidR="008D57B3" w:rsidRPr="00CD51A8" w:rsidRDefault="008D57B3" w:rsidP="008D57B3">
      <w:pPr>
        <w:rPr>
          <w:rFonts w:ascii="Arial" w:hAnsi="Arial" w:cs="Arial"/>
        </w:rPr>
      </w:pPr>
    </w:p>
    <w:p w:rsidR="008D57B3" w:rsidRDefault="008D57B3" w:rsidP="008D57B3">
      <w:pPr>
        <w:rPr>
          <w:rFonts w:ascii="Arial" w:hAnsi="Arial" w:cs="Arial"/>
        </w:rPr>
      </w:pPr>
    </w:p>
    <w:p w:rsidR="008D57B3" w:rsidRPr="00CD51A8" w:rsidRDefault="008D57B3" w:rsidP="008D57B3">
      <w:pPr>
        <w:ind w:left="720" w:hanging="720"/>
        <w:rPr>
          <w:rFonts w:ascii="Arial" w:hAnsi="Arial" w:cs="Arial"/>
        </w:rPr>
      </w:pPr>
      <w:r w:rsidRPr="00CD51A8">
        <w:rPr>
          <w:rFonts w:ascii="Arial" w:hAnsi="Arial" w:cs="Arial"/>
        </w:rPr>
        <w:t>4.8.3.</w:t>
      </w:r>
      <w:r w:rsidRPr="00CD51A8">
        <w:rPr>
          <w:rFonts w:ascii="Arial" w:hAnsi="Arial" w:cs="Arial"/>
        </w:rPr>
        <w:tab/>
      </w:r>
      <w:r>
        <w:rPr>
          <w:rFonts w:ascii="Arial" w:hAnsi="Arial" w:cs="Arial"/>
        </w:rPr>
        <w:t>N/A</w:t>
      </w:r>
    </w:p>
    <w:p w:rsidR="008D57B3" w:rsidRDefault="008D57B3" w:rsidP="008D57B3">
      <w:pPr>
        <w:rPr>
          <w:rFonts w:ascii="Arial" w:hAnsi="Arial" w:cs="Arial"/>
        </w:rPr>
      </w:pPr>
    </w:p>
    <w:p w:rsidR="008D57B3" w:rsidRPr="0031141C" w:rsidRDefault="008D57B3" w:rsidP="008D57B3">
      <w:pPr>
        <w:ind w:left="720" w:hanging="720"/>
        <w:rPr>
          <w:rFonts w:ascii="Arial" w:hAnsi="Arial" w:cs="Arial"/>
        </w:rPr>
      </w:pPr>
      <w:r w:rsidRPr="00CD51A8">
        <w:rPr>
          <w:rFonts w:ascii="Arial" w:hAnsi="Arial" w:cs="Arial"/>
        </w:rPr>
        <w:t>4.8.4.</w:t>
      </w:r>
      <w:r w:rsidRPr="00CD51A8">
        <w:rPr>
          <w:rFonts w:ascii="Arial" w:hAnsi="Arial" w:cs="Arial"/>
        </w:rPr>
        <w:tab/>
      </w:r>
      <w:r>
        <w:rPr>
          <w:rFonts w:ascii="Arial" w:hAnsi="Arial" w:cs="Arial"/>
        </w:rPr>
        <w:t>N/A</w:t>
      </w:r>
    </w:p>
    <w:p w:rsidR="008D57B3" w:rsidRDefault="008D57B3" w:rsidP="008D57B3">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sidR="00CD51A8">
        <w:rPr>
          <w:rFonts w:ascii="Arial" w:hAnsi="Arial" w:cs="Arial"/>
          <w:b/>
          <w:u w:val="single"/>
        </w:rPr>
        <w:t>4.</w:t>
      </w:r>
      <w:r>
        <w:rPr>
          <w:rFonts w:ascii="Arial" w:hAnsi="Arial" w:cs="Arial"/>
          <w:b/>
          <w:u w:val="single"/>
        </w:rPr>
        <w:t>9</w:t>
      </w:r>
      <w:r w:rsidRPr="00F759E8">
        <w:rPr>
          <w:rFonts w:ascii="Arial" w:hAnsi="Arial" w:cs="Arial"/>
          <w:b/>
          <w:u w:val="single"/>
        </w:rPr>
        <w:t>:</w:t>
      </w:r>
    </w:p>
    <w:p w:rsidR="00F67377" w:rsidRPr="0031141C" w:rsidRDefault="00F67377" w:rsidP="00F67377">
      <w:pPr>
        <w:rPr>
          <w:rFonts w:ascii="Arial" w:hAnsi="Arial" w:cs="Arial"/>
        </w:rPr>
      </w:pPr>
    </w:p>
    <w:p w:rsidR="00CD51A8" w:rsidRPr="00CD51A8" w:rsidRDefault="00CD51A8" w:rsidP="00CD51A8">
      <w:pPr>
        <w:rPr>
          <w:rFonts w:ascii="Arial" w:hAnsi="Arial" w:cs="Arial"/>
        </w:rPr>
      </w:pPr>
      <w:r w:rsidRPr="00CD51A8">
        <w:rPr>
          <w:rFonts w:ascii="Arial" w:hAnsi="Arial" w:cs="Arial"/>
        </w:rPr>
        <w:t xml:space="preserve">Regarding the shares of gas and electric by end use, relative efficiency of gas vs electric, and the age of equipment shown in Wetzel </w:t>
      </w:r>
      <w:proofErr w:type="spellStart"/>
      <w:r w:rsidRPr="00CD51A8">
        <w:rPr>
          <w:rFonts w:ascii="Arial" w:hAnsi="Arial" w:cs="Arial"/>
        </w:rPr>
        <w:t>Workpapers</w:t>
      </w:r>
      <w:proofErr w:type="spellEnd"/>
      <w:r w:rsidRPr="00CD51A8">
        <w:rPr>
          <w:rFonts w:ascii="Arial" w:hAnsi="Arial" w:cs="Arial"/>
        </w:rPr>
        <w:t xml:space="preserve"> at pages 91-94:</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4.9.1.</w:t>
      </w:r>
      <w:r w:rsidRPr="00CD51A8">
        <w:rPr>
          <w:rFonts w:ascii="Arial" w:hAnsi="Arial" w:cs="Arial"/>
        </w:rPr>
        <w:tab/>
        <w:t xml:space="preserve">Is SoCalGas assuming that equipment stock is being replaced for at least a portion of the businesses included in the forecast under Rule 38?  </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4.9.2.</w:t>
      </w:r>
      <w:r w:rsidRPr="00CD51A8">
        <w:rPr>
          <w:rFonts w:ascii="Arial" w:hAnsi="Arial" w:cs="Arial"/>
        </w:rPr>
        <w:tab/>
        <w:t>If the answer to Q4.9.1 is “yes,” please state what the assumptions are for equipment replacement noting whether equipment is assumed to trend toward increased gas penetration or decreased gas penetration and by how much.</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4.9.3.</w:t>
      </w:r>
      <w:r w:rsidRPr="00CD51A8">
        <w:rPr>
          <w:rFonts w:ascii="Arial" w:hAnsi="Arial" w:cs="Arial"/>
        </w:rPr>
        <w:tab/>
        <w:t>With respect to the response to the previous question, are different rates assumed for each of the business types listed or does SoCalGas assume a constant rate for all business types?</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4.9.4.</w:t>
      </w:r>
      <w:r w:rsidRPr="00CD51A8">
        <w:rPr>
          <w:rFonts w:ascii="Arial" w:hAnsi="Arial" w:cs="Arial"/>
        </w:rPr>
        <w:tab/>
        <w:t>If the answer to Q4.9.1 is “yes,” please state whether the equipment stock is assumed to increase in efficiency and by how much.</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4.9.5.</w:t>
      </w:r>
      <w:r w:rsidRPr="00CD51A8">
        <w:rPr>
          <w:rFonts w:ascii="Arial" w:hAnsi="Arial" w:cs="Arial"/>
        </w:rPr>
        <w:tab/>
        <w:t>With respect to the response to the previous question, are different rates assumed for each of the business types listed or does SoCalGas assume a constant rate for all business types?</w:t>
      </w:r>
    </w:p>
    <w:p w:rsidR="00CD51A8" w:rsidRDefault="00CD51A8" w:rsidP="00CD51A8">
      <w:pPr>
        <w:rPr>
          <w:rFonts w:ascii="Arial" w:hAnsi="Arial" w:cs="Arial"/>
        </w:rPr>
      </w:pPr>
    </w:p>
    <w:p w:rsidR="00CD51A8" w:rsidRPr="00CD51A8" w:rsidRDefault="00CD51A8" w:rsidP="00CD51A8">
      <w:pPr>
        <w:ind w:left="720" w:hanging="720"/>
        <w:rPr>
          <w:rFonts w:ascii="Arial" w:hAnsi="Arial" w:cs="Arial"/>
        </w:rPr>
      </w:pPr>
      <w:r w:rsidRPr="00CD51A8">
        <w:rPr>
          <w:rFonts w:ascii="Arial" w:hAnsi="Arial" w:cs="Arial"/>
        </w:rPr>
        <w:t>4.9.6.</w:t>
      </w:r>
      <w:r w:rsidRPr="00CD51A8">
        <w:rPr>
          <w:rFonts w:ascii="Arial" w:hAnsi="Arial" w:cs="Arial"/>
        </w:rPr>
        <w:tab/>
        <w:t>Are the answers to Q.4.9.1 through Q.4.9.5 based on SoCalGas’ actual experience with noncore Commercial &amp; Industrial customer projects under Rule 38?</w:t>
      </w:r>
    </w:p>
    <w:p w:rsidR="00CD51A8" w:rsidRDefault="00CD51A8" w:rsidP="00CD51A8">
      <w:pPr>
        <w:rPr>
          <w:rFonts w:ascii="Arial" w:hAnsi="Arial" w:cs="Arial"/>
        </w:rPr>
      </w:pPr>
    </w:p>
    <w:p w:rsidR="00F67377" w:rsidRPr="0031141C" w:rsidRDefault="00CD51A8" w:rsidP="00CD51A8">
      <w:pPr>
        <w:ind w:left="720" w:hanging="720"/>
        <w:rPr>
          <w:rFonts w:ascii="Arial" w:hAnsi="Arial" w:cs="Arial"/>
        </w:rPr>
      </w:pPr>
      <w:r w:rsidRPr="00CD51A8">
        <w:rPr>
          <w:rFonts w:ascii="Arial" w:hAnsi="Arial" w:cs="Arial"/>
        </w:rPr>
        <w:t>4.9.7.</w:t>
      </w:r>
      <w:r w:rsidRPr="00CD51A8">
        <w:rPr>
          <w:rFonts w:ascii="Arial" w:hAnsi="Arial" w:cs="Arial"/>
        </w:rPr>
        <w:tab/>
        <w:t>If the answer to the previous question is “no,” please describe exactly what information the answers to Q.4.9.1 through Q.4.9.5 are based upon.</w:t>
      </w:r>
    </w:p>
    <w:p w:rsidR="00582C14" w:rsidRPr="0031141C" w:rsidRDefault="00582C14" w:rsidP="00F67377">
      <w:pPr>
        <w:rPr>
          <w:rFonts w:ascii="Arial" w:hAnsi="Arial" w:cs="Arial"/>
        </w:rPr>
      </w:pPr>
    </w:p>
    <w:p w:rsidR="00CD51A8" w:rsidRDefault="00CD51A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CD51A8">
        <w:rPr>
          <w:rFonts w:ascii="Arial" w:hAnsi="Arial" w:cs="Arial"/>
          <w:b/>
          <w:u w:val="single"/>
        </w:rPr>
        <w:t>4.</w:t>
      </w:r>
      <w:r>
        <w:rPr>
          <w:rFonts w:ascii="Arial" w:hAnsi="Arial" w:cs="Arial"/>
          <w:b/>
          <w:u w:val="single"/>
        </w:rPr>
        <w:t>9</w:t>
      </w:r>
      <w:r w:rsidRPr="00F759E8">
        <w:rPr>
          <w:rFonts w:ascii="Arial" w:hAnsi="Arial" w:cs="Arial"/>
          <w:b/>
          <w:u w:val="single"/>
        </w:rPr>
        <w:t>:</w:t>
      </w:r>
    </w:p>
    <w:p w:rsidR="00F67377" w:rsidRDefault="00F67377" w:rsidP="005C6E7A">
      <w:pPr>
        <w:rPr>
          <w:rFonts w:ascii="Arial" w:hAnsi="Arial" w:cs="Arial"/>
          <w:sz w:val="28"/>
          <w:szCs w:val="28"/>
        </w:rPr>
      </w:pPr>
    </w:p>
    <w:p w:rsidR="004A3399" w:rsidRDefault="004A3399" w:rsidP="004A3399">
      <w:pPr>
        <w:rPr>
          <w:rFonts w:ascii="Arial" w:hAnsi="Arial" w:cs="Arial"/>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4.9.1.</w:t>
      </w:r>
      <w:r w:rsidRPr="00DC52A8">
        <w:rPr>
          <w:rFonts w:ascii="Arial" w:hAnsi="Arial" w:cs="Arial"/>
          <w:color w:val="000000" w:themeColor="text1"/>
        </w:rPr>
        <w:tab/>
        <w:t xml:space="preserve">Implicitly, </w:t>
      </w:r>
      <w:r w:rsidR="001A2BF1">
        <w:rPr>
          <w:rFonts w:ascii="Arial" w:hAnsi="Arial" w:cs="Arial"/>
          <w:color w:val="000000" w:themeColor="text1"/>
        </w:rPr>
        <w:t xml:space="preserve">the answer is </w:t>
      </w:r>
      <w:r w:rsidR="00903308">
        <w:rPr>
          <w:rFonts w:ascii="Arial" w:hAnsi="Arial" w:cs="Arial"/>
          <w:color w:val="000000" w:themeColor="text1"/>
        </w:rPr>
        <w:t>yes</w:t>
      </w:r>
      <w:r w:rsidRPr="00DC52A8">
        <w:rPr>
          <w:rFonts w:ascii="Arial" w:hAnsi="Arial" w:cs="Arial"/>
          <w:color w:val="000000" w:themeColor="text1"/>
        </w:rPr>
        <w:t>; however, it’s important to understand that for this g-30 industrial market, the Rule-38 applicable load is subtracted from the specific end-use model load forecast.  Any Rule-38 customers are considered as part of the overall aggregate of customers’ load and characteristics considered in the</w:t>
      </w:r>
      <w:r w:rsidR="001A2BF1">
        <w:rPr>
          <w:rFonts w:ascii="Arial" w:hAnsi="Arial" w:cs="Arial"/>
          <w:color w:val="000000" w:themeColor="text1"/>
        </w:rPr>
        <w:t xml:space="preserve"> end-use model calculations.</w:t>
      </w: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lastRenderedPageBreak/>
        <w:t>4.9.2.</w:t>
      </w:r>
      <w:r w:rsidRPr="00DC52A8">
        <w:rPr>
          <w:rFonts w:ascii="Arial" w:hAnsi="Arial" w:cs="Arial"/>
          <w:color w:val="000000" w:themeColor="text1"/>
        </w:rPr>
        <w:tab/>
        <w:t>Assumptions for the equipment replacement decision are part of the data inputs as well as the methodology used to simulate this decision.  For a forecast year, the existing equipment from the prior year either remains in operation or is deemed to require replacement.  For equipment to be replaced, there is a fuel choice (either natural gas or electricity) followed by an efficiency choice (going forward, only improved efficiencies are considered available).   As to which fuel may be “preferred</w:t>
      </w:r>
      <w:r w:rsidR="001A2BF1">
        <w:rPr>
          <w:rFonts w:ascii="Arial" w:hAnsi="Arial" w:cs="Arial"/>
          <w:color w:val="000000" w:themeColor="text1"/>
        </w:rPr>
        <w:t>,</w:t>
      </w:r>
      <w:r w:rsidRPr="00DC52A8">
        <w:rPr>
          <w:rFonts w:ascii="Arial" w:hAnsi="Arial" w:cs="Arial"/>
          <w:color w:val="000000" w:themeColor="text1"/>
        </w:rPr>
        <w:t>” this is an outcome that reflects a weighing of equipment purchase cost levels against the expected lifetime operating (i.e., fuel) costs of using the equipment at an expected usage level.  Therefore, the gas penetration is dependent upon relative total costs between gas/electric options for each end-use.</w:t>
      </w: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4.9.3.</w:t>
      </w:r>
      <w:r w:rsidRPr="00DC52A8">
        <w:rPr>
          <w:rFonts w:ascii="Arial" w:hAnsi="Arial" w:cs="Arial"/>
          <w:color w:val="000000" w:themeColor="text1"/>
        </w:rPr>
        <w:tab/>
      </w:r>
      <w:r w:rsidR="001A2BF1">
        <w:rPr>
          <w:rFonts w:ascii="Arial" w:hAnsi="Arial" w:cs="Arial"/>
          <w:color w:val="000000" w:themeColor="text1"/>
        </w:rPr>
        <w:t>T</w:t>
      </w:r>
      <w:r w:rsidRPr="00DC52A8">
        <w:rPr>
          <w:rFonts w:ascii="Arial" w:hAnsi="Arial" w:cs="Arial"/>
          <w:color w:val="000000" w:themeColor="text1"/>
        </w:rPr>
        <w:t>he term “rates” used in this part of the question was not used in the previous question and it is not clear what the reference to “different rates” means.  If by “rates” the questioner means “rates of equipment replacement”, then the various business types have different sets of end-use equipment types, and these different equipment types have different rates for replacement of equipment that wears out at the end of its useful life.  Also, for a specific end-use equipment type (e.g., a space heater or a water heater), it is possible for the rate of replacement to differ across business types.  Penetration of gas equipment is dependent upon relative total costs between gas/electric options for each end-use.</w:t>
      </w:r>
    </w:p>
    <w:p w:rsidR="00D530F9" w:rsidRPr="00DC52A8" w:rsidRDefault="00D530F9" w:rsidP="00D530F9">
      <w:pPr>
        <w:ind w:left="720" w:hanging="720"/>
        <w:rPr>
          <w:rFonts w:ascii="Arial" w:hAnsi="Arial" w:cs="Arial"/>
          <w:color w:val="000000" w:themeColor="text1"/>
        </w:rPr>
      </w:pP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4.9.4.</w:t>
      </w:r>
      <w:r w:rsidRPr="00DC52A8">
        <w:rPr>
          <w:rFonts w:ascii="Arial" w:hAnsi="Arial" w:cs="Arial"/>
          <w:color w:val="000000" w:themeColor="text1"/>
        </w:rPr>
        <w:tab/>
        <w:t>Generally, when equipment faces its replacement decision, as long as the fuel being used is the same, it will be replaced with no lower le</w:t>
      </w:r>
      <w:bookmarkStart w:id="0" w:name="_GoBack"/>
      <w:bookmarkEnd w:id="0"/>
      <w:r w:rsidRPr="00DC52A8">
        <w:rPr>
          <w:rFonts w:ascii="Arial" w:hAnsi="Arial" w:cs="Arial"/>
          <w:color w:val="000000" w:themeColor="text1"/>
        </w:rPr>
        <w:t xml:space="preserve">vel of efficiency than previously was </w:t>
      </w:r>
      <w:proofErr w:type="gramStart"/>
      <w:r w:rsidRPr="00DC52A8">
        <w:rPr>
          <w:rFonts w:ascii="Arial" w:hAnsi="Arial" w:cs="Arial"/>
          <w:color w:val="000000" w:themeColor="text1"/>
        </w:rPr>
        <w:t>assumed,</w:t>
      </w:r>
      <w:proofErr w:type="gramEnd"/>
      <w:r w:rsidRPr="00DC52A8">
        <w:rPr>
          <w:rFonts w:ascii="Arial" w:hAnsi="Arial" w:cs="Arial"/>
          <w:color w:val="000000" w:themeColor="text1"/>
        </w:rPr>
        <w:t xml:space="preserve"> therefore equipment stock efficiency improves each year. The change in efficiency that is realized is not readily determined and is embedded in the details of the specific en</w:t>
      </w:r>
      <w:r w:rsidR="001A2BF1">
        <w:rPr>
          <w:rFonts w:ascii="Arial" w:hAnsi="Arial" w:cs="Arial"/>
          <w:color w:val="000000" w:themeColor="text1"/>
        </w:rPr>
        <w:t>d-use model simulation results.</w:t>
      </w: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4.9.5.</w:t>
      </w:r>
      <w:r w:rsidRPr="00DC52A8">
        <w:rPr>
          <w:rFonts w:ascii="Arial" w:hAnsi="Arial" w:cs="Arial"/>
          <w:color w:val="000000" w:themeColor="text1"/>
        </w:rPr>
        <w:tab/>
        <w:t>See response to 4.9.3 above.</w:t>
      </w: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4.9.6.</w:t>
      </w:r>
      <w:r w:rsidRPr="00DC52A8">
        <w:rPr>
          <w:rFonts w:ascii="Arial" w:hAnsi="Arial" w:cs="Arial"/>
          <w:color w:val="000000" w:themeColor="text1"/>
        </w:rPr>
        <w:tab/>
        <w:t>No.</w:t>
      </w:r>
    </w:p>
    <w:p w:rsidR="00D530F9" w:rsidRPr="00DC52A8" w:rsidRDefault="00D530F9" w:rsidP="00D530F9">
      <w:pPr>
        <w:rPr>
          <w:rFonts w:ascii="Arial" w:hAnsi="Arial" w:cs="Arial"/>
          <w:color w:val="000000" w:themeColor="text1"/>
        </w:rPr>
      </w:pPr>
    </w:p>
    <w:p w:rsidR="00D530F9" w:rsidRPr="00DC52A8" w:rsidRDefault="00D530F9" w:rsidP="00D530F9">
      <w:pPr>
        <w:ind w:left="720" w:hanging="720"/>
        <w:rPr>
          <w:rFonts w:ascii="Arial" w:hAnsi="Arial" w:cs="Arial"/>
          <w:color w:val="000000" w:themeColor="text1"/>
        </w:rPr>
      </w:pPr>
      <w:r w:rsidRPr="00DC52A8">
        <w:rPr>
          <w:rFonts w:ascii="Arial" w:hAnsi="Arial" w:cs="Arial"/>
          <w:color w:val="000000" w:themeColor="text1"/>
        </w:rPr>
        <w:t>4.9.7.</w:t>
      </w:r>
      <w:r w:rsidRPr="00DC52A8">
        <w:rPr>
          <w:rFonts w:ascii="Arial" w:hAnsi="Arial" w:cs="Arial"/>
          <w:color w:val="000000" w:themeColor="text1"/>
        </w:rPr>
        <w:tab/>
      </w:r>
      <w:r w:rsidR="001A2BF1">
        <w:rPr>
          <w:rFonts w:ascii="Arial" w:hAnsi="Arial" w:cs="Arial"/>
          <w:color w:val="000000" w:themeColor="text1"/>
        </w:rPr>
        <w:t>The responses are based on o</w:t>
      </w:r>
      <w:r w:rsidRPr="00DC52A8">
        <w:rPr>
          <w:rFonts w:ascii="Arial" w:hAnsi="Arial" w:cs="Arial"/>
          <w:color w:val="000000" w:themeColor="text1"/>
        </w:rPr>
        <w:t>ur understanding of how the noncore industrial end-use model code works.</w:t>
      </w:r>
    </w:p>
    <w:p w:rsidR="00D530F9" w:rsidRPr="00DC52A8" w:rsidRDefault="00D530F9" w:rsidP="00D530F9">
      <w:pPr>
        <w:rPr>
          <w:rFonts w:ascii="Arial" w:hAnsi="Arial" w:cs="Arial"/>
          <w:color w:val="000000" w:themeColor="text1"/>
        </w:rPr>
      </w:pPr>
    </w:p>
    <w:p w:rsidR="00D530F9" w:rsidRPr="00DC52A8" w:rsidRDefault="00D530F9" w:rsidP="00D530F9">
      <w:pPr>
        <w:rPr>
          <w:rFonts w:ascii="Arial" w:hAnsi="Arial" w:cs="Arial"/>
          <w:color w:val="000000" w:themeColor="text1"/>
          <w:sz w:val="28"/>
          <w:szCs w:val="28"/>
        </w:rPr>
      </w:pPr>
    </w:p>
    <w:p w:rsidR="004A3399" w:rsidRPr="00DC52A8" w:rsidRDefault="004A3399" w:rsidP="00D530F9">
      <w:pPr>
        <w:ind w:left="720" w:hanging="720"/>
        <w:rPr>
          <w:rFonts w:ascii="Arial" w:hAnsi="Arial" w:cs="Arial"/>
          <w:color w:val="000000" w:themeColor="text1"/>
          <w:sz w:val="28"/>
          <w:szCs w:val="28"/>
        </w:rPr>
      </w:pPr>
    </w:p>
    <w:sectPr w:rsidR="004A3399" w:rsidRPr="00DC52A8" w:rsidSect="00CD51A8">
      <w:headerReference w:type="default" r:id="rId15"/>
      <w:footerReference w:type="default" r:id="rId16"/>
      <w:pgSz w:w="12240" w:h="15840" w:code="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636" w:rsidRDefault="009B0636">
      <w:r>
        <w:separator/>
      </w:r>
    </w:p>
  </w:endnote>
  <w:endnote w:type="continuationSeparator" w:id="0">
    <w:p w:rsidR="009B0636" w:rsidRDefault="009B0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241B65">
      <w:rPr>
        <w:rStyle w:val="PageNumber"/>
        <w:rFonts w:ascii="Arial" w:hAnsi="Arial" w:cs="Arial"/>
        <w:noProof/>
      </w:rPr>
      <w:t>14</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636" w:rsidRDefault="009B0636">
      <w:r>
        <w:separator/>
      </w:r>
    </w:p>
  </w:footnote>
  <w:footnote w:type="continuationSeparator" w:id="0">
    <w:p w:rsidR="009B0636" w:rsidRDefault="009B0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335" w:rsidRPr="00267335" w:rsidRDefault="00267335" w:rsidP="00267335">
    <w:pPr>
      <w:autoSpaceDE w:val="0"/>
      <w:autoSpaceDN w:val="0"/>
      <w:adjustRightInd w:val="0"/>
      <w:jc w:val="center"/>
      <w:rPr>
        <w:rFonts w:ascii="Arial" w:hAnsi="Arial" w:cs="Arial"/>
        <w:b/>
      </w:rPr>
    </w:pPr>
    <w:r w:rsidRPr="00267335">
      <w:rPr>
        <w:rFonts w:ascii="Arial" w:hAnsi="Arial" w:cs="Arial"/>
        <w:b/>
      </w:rPr>
      <w:t>APPLICATION OF SOUTHERN CALIFORNIA GAS COMPANY</w:t>
    </w:r>
  </w:p>
  <w:p w:rsidR="00267335" w:rsidRPr="00267335" w:rsidRDefault="00267335" w:rsidP="00267335">
    <w:pPr>
      <w:autoSpaceDE w:val="0"/>
      <w:autoSpaceDN w:val="0"/>
      <w:adjustRightInd w:val="0"/>
      <w:jc w:val="center"/>
      <w:rPr>
        <w:rFonts w:ascii="Arial" w:hAnsi="Arial" w:cs="Arial"/>
        <w:b/>
      </w:rPr>
    </w:pPr>
    <w:r w:rsidRPr="00267335">
      <w:rPr>
        <w:rFonts w:ascii="Arial" w:hAnsi="Arial" w:cs="Arial"/>
        <w:b/>
      </w:rPr>
      <w:t>AND SAN DIEGO GAS &amp; ELECTRIC COMPANY</w:t>
    </w:r>
  </w:p>
  <w:p w:rsidR="001E5C86" w:rsidRDefault="00267335" w:rsidP="00267335">
    <w:pPr>
      <w:autoSpaceDE w:val="0"/>
      <w:autoSpaceDN w:val="0"/>
      <w:adjustRightInd w:val="0"/>
      <w:jc w:val="center"/>
      <w:rPr>
        <w:rFonts w:ascii="Arial" w:hAnsi="Arial" w:cs="Arial"/>
        <w:b/>
      </w:rPr>
    </w:pPr>
    <w:r w:rsidRPr="00267335">
      <w:rPr>
        <w:rFonts w:ascii="Arial" w:hAnsi="Arial" w:cs="Arial"/>
        <w:b/>
      </w:rPr>
      <w:t>FOR AUTHORITY TO REV</w:t>
    </w:r>
    <w:r w:rsidR="001E5C86">
      <w:rPr>
        <w:rFonts w:ascii="Arial" w:hAnsi="Arial" w:cs="Arial"/>
        <w:b/>
      </w:rPr>
      <w:t>I</w:t>
    </w:r>
    <w:r w:rsidRPr="00267335">
      <w:rPr>
        <w:rFonts w:ascii="Arial" w:hAnsi="Arial" w:cs="Arial"/>
        <w:b/>
      </w:rPr>
      <w:t xml:space="preserve">SE THEIR NATURAL GAS RATES </w:t>
    </w:r>
  </w:p>
  <w:p w:rsidR="001E5C86" w:rsidRDefault="00267335" w:rsidP="00267335">
    <w:pPr>
      <w:autoSpaceDE w:val="0"/>
      <w:autoSpaceDN w:val="0"/>
      <w:adjustRightInd w:val="0"/>
      <w:jc w:val="center"/>
      <w:rPr>
        <w:rFonts w:ascii="Arial" w:hAnsi="Arial" w:cs="Arial"/>
        <w:b/>
      </w:rPr>
    </w:pPr>
    <w:r w:rsidRPr="00267335">
      <w:rPr>
        <w:rFonts w:ascii="Arial" w:hAnsi="Arial" w:cs="Arial"/>
        <w:b/>
      </w:rPr>
      <w:t xml:space="preserve">EFFECTIVE JANUARY 1, 2017 IN THEIR </w:t>
    </w:r>
  </w:p>
  <w:p w:rsidR="00267335" w:rsidRPr="00267335" w:rsidRDefault="00267335" w:rsidP="00267335">
    <w:pPr>
      <w:autoSpaceDE w:val="0"/>
      <w:autoSpaceDN w:val="0"/>
      <w:adjustRightInd w:val="0"/>
      <w:jc w:val="center"/>
      <w:rPr>
        <w:rFonts w:ascii="Arial" w:hAnsi="Arial" w:cs="Arial"/>
        <w:b/>
      </w:rPr>
    </w:pPr>
    <w:r w:rsidRPr="00267335">
      <w:rPr>
        <w:rFonts w:ascii="Arial" w:hAnsi="Arial" w:cs="Arial"/>
        <w:b/>
      </w:rPr>
      <w:t xml:space="preserve">TRIENNIAL COST ALLOCATION PROCEEDING </w:t>
    </w:r>
    <w:r w:rsidR="0086297C">
      <w:rPr>
        <w:rFonts w:ascii="Arial" w:hAnsi="Arial" w:cs="Arial"/>
        <w:b/>
      </w:rPr>
      <w:t>- PHASE 2</w:t>
    </w:r>
  </w:p>
  <w:p w:rsidR="00663B29" w:rsidRPr="00445088" w:rsidRDefault="00663B29" w:rsidP="00663B29">
    <w:pPr>
      <w:jc w:val="center"/>
      <w:rPr>
        <w:rFonts w:ascii="Arial" w:hAnsi="Arial" w:cs="Arial"/>
        <w:b/>
        <w:sz w:val="6"/>
        <w:szCs w:val="6"/>
      </w:rPr>
    </w:pPr>
  </w:p>
  <w:p w:rsidR="00663B29" w:rsidRPr="00663B29" w:rsidRDefault="00663B29" w:rsidP="00663B29">
    <w:pPr>
      <w:jc w:val="center"/>
      <w:rPr>
        <w:rFonts w:ascii="Arial" w:hAnsi="Arial" w:cs="Arial"/>
        <w:b/>
        <w:sz w:val="6"/>
        <w:szCs w:val="6"/>
      </w:rPr>
    </w:pPr>
  </w:p>
  <w:p w:rsidR="00663B29" w:rsidRPr="00663B29" w:rsidRDefault="00663B29" w:rsidP="00663B29">
    <w:pPr>
      <w:jc w:val="center"/>
      <w:rPr>
        <w:rFonts w:ascii="Arial" w:hAnsi="Arial" w:cs="Arial"/>
        <w:b/>
      </w:rPr>
    </w:pPr>
    <w:r w:rsidRPr="00663B29">
      <w:rPr>
        <w:rFonts w:ascii="Arial" w:hAnsi="Arial" w:cs="Arial"/>
        <w:b/>
      </w:rPr>
      <w:t>(A.1</w:t>
    </w:r>
    <w:r w:rsidR="004E625C">
      <w:rPr>
        <w:rFonts w:ascii="Arial" w:hAnsi="Arial" w:cs="Arial"/>
        <w:b/>
      </w:rPr>
      <w:t>5</w:t>
    </w:r>
    <w:r w:rsidRPr="00663B29">
      <w:rPr>
        <w:rFonts w:ascii="Arial" w:hAnsi="Arial" w:cs="Arial"/>
        <w:b/>
      </w:rPr>
      <w:t>-</w:t>
    </w:r>
    <w:r w:rsidR="004E625C">
      <w:rPr>
        <w:rFonts w:ascii="Arial" w:hAnsi="Arial" w:cs="Arial"/>
        <w:b/>
      </w:rPr>
      <w:t>07</w:t>
    </w:r>
    <w:r w:rsidRPr="00663B29">
      <w:rPr>
        <w:rFonts w:ascii="Arial" w:hAnsi="Arial" w:cs="Arial"/>
        <w:b/>
      </w:rPr>
      <w:t>-</w:t>
    </w:r>
    <w:r w:rsidR="001E5C86">
      <w:rPr>
        <w:rFonts w:ascii="Arial" w:hAnsi="Arial" w:cs="Arial"/>
        <w:b/>
      </w:rPr>
      <w:t>014</w:t>
    </w:r>
    <w:r w:rsidRPr="00663B29">
      <w:rPr>
        <w:rFonts w:ascii="Arial" w:hAnsi="Arial" w:cs="Arial"/>
        <w:b/>
      </w:rPr>
      <w:t>)</w:t>
    </w:r>
  </w:p>
  <w:p w:rsidR="00967F6A" w:rsidRDefault="00967F6A" w:rsidP="00F9456E">
    <w:pPr>
      <w:pStyle w:val="Header"/>
      <w:jc w:val="center"/>
      <w:rPr>
        <w:rFonts w:ascii="Arial" w:hAnsi="Arial" w:cs="Arial"/>
        <w:b/>
        <w:sz w:val="8"/>
        <w:szCs w:val="8"/>
      </w:rPr>
    </w:pPr>
  </w:p>
  <w:p w:rsidR="00300C57" w:rsidRPr="00C178B5" w:rsidRDefault="00300C57" w:rsidP="00F9456E">
    <w:pPr>
      <w:pStyle w:val="Header"/>
      <w:jc w:val="center"/>
      <w:rPr>
        <w:rFonts w:ascii="Arial" w:hAnsi="Arial" w:cs="Arial"/>
        <w:b/>
        <w:sz w:val="8"/>
        <w:szCs w:val="8"/>
      </w:rPr>
    </w:pPr>
  </w:p>
  <w:p w:rsidR="00967F6A" w:rsidRPr="00507F24" w:rsidRDefault="00AF3427" w:rsidP="00F9456E">
    <w:pPr>
      <w:pStyle w:val="Header"/>
      <w:jc w:val="center"/>
      <w:rPr>
        <w:rFonts w:ascii="Arial" w:hAnsi="Arial" w:cs="Arial"/>
        <w:b/>
      </w:rPr>
    </w:pPr>
    <w:r>
      <w:rPr>
        <w:rFonts w:ascii="Arial" w:hAnsi="Arial" w:cs="Arial"/>
        <w:b/>
      </w:rPr>
      <w:t>(</w:t>
    </w:r>
    <w:r w:rsidR="00CD51A8">
      <w:rPr>
        <w:rFonts w:ascii="Arial" w:hAnsi="Arial" w:cs="Arial"/>
        <w:b/>
      </w:rPr>
      <w:t>4</w:t>
    </w:r>
    <w:r w:rsidR="00CD51A8" w:rsidRPr="00CD51A8">
      <w:rPr>
        <w:rFonts w:ascii="Arial" w:hAnsi="Arial" w:cs="Arial"/>
        <w:b/>
        <w:vertAlign w:val="superscript"/>
      </w:rPr>
      <w:t>TH</w:t>
    </w:r>
    <w:r w:rsidR="00CD51A8">
      <w:rPr>
        <w:rFonts w:ascii="Arial" w:hAnsi="Arial" w:cs="Arial"/>
        <w:b/>
      </w:rPr>
      <w:t xml:space="preserve"> DATA REQUEST FROM SOUTHERN CALIFORNIA GENERATION COALITION</w:t>
    </w:r>
    <w:r>
      <w:rPr>
        <w:rFonts w:ascii="Arial" w:hAnsi="Arial" w:cs="Arial"/>
        <w:b/>
      </w:rPr>
      <w:t>)</w:t>
    </w:r>
  </w:p>
  <w:p w:rsidR="00F9456E" w:rsidRDefault="00F9456E" w:rsidP="00F9456E">
    <w:pPr>
      <w:pStyle w:val="Header"/>
      <w:jc w:val="center"/>
      <w:rPr>
        <w:rFonts w:ascii="Arial" w:hAnsi="Arial" w:cs="Arial"/>
        <w:b/>
      </w:rPr>
    </w:pPr>
    <w:r>
      <w:rPr>
        <w:rFonts w:ascii="Arial" w:hAnsi="Arial" w:cs="Arial"/>
        <w:b/>
      </w:rPr>
      <w:t>______________________________</w:t>
    </w:r>
    <w:r w:rsidR="009B540D">
      <w:rPr>
        <w:rFonts w:ascii="Arial" w:hAnsi="Arial" w:cs="Arial"/>
        <w:b/>
      </w:rPr>
      <w:t>________</w:t>
    </w:r>
    <w:r>
      <w:rPr>
        <w:rFonts w:ascii="Arial" w:hAnsi="Arial" w:cs="Arial"/>
        <w:b/>
      </w:rPr>
      <w:t>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9">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0">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9"/>
  </w:num>
  <w:num w:numId="3">
    <w:abstractNumId w:val="6"/>
  </w:num>
  <w:num w:numId="4">
    <w:abstractNumId w:val="17"/>
  </w:num>
  <w:num w:numId="5">
    <w:abstractNumId w:val="12"/>
  </w:num>
  <w:num w:numId="6">
    <w:abstractNumId w:val="16"/>
  </w:num>
  <w:num w:numId="7">
    <w:abstractNumId w:val="10"/>
  </w:num>
  <w:num w:numId="8">
    <w:abstractNumId w:val="18"/>
  </w:num>
  <w:num w:numId="9">
    <w:abstractNumId w:val="15"/>
  </w:num>
  <w:num w:numId="10">
    <w:abstractNumId w:val="7"/>
  </w:num>
  <w:num w:numId="11">
    <w:abstractNumId w:val="5"/>
  </w:num>
  <w:num w:numId="12">
    <w:abstractNumId w:val="3"/>
  </w:num>
  <w:num w:numId="13">
    <w:abstractNumId w:val="2"/>
  </w:num>
  <w:num w:numId="14">
    <w:abstractNumId w:val="13"/>
  </w:num>
  <w:num w:numId="15">
    <w:abstractNumId w:val="14"/>
  </w:num>
  <w:num w:numId="16">
    <w:abstractNumId w:val="11"/>
  </w:num>
  <w:num w:numId="17">
    <w:abstractNumId w:val="1"/>
  </w:num>
  <w:num w:numId="18">
    <w:abstractNumId w:val="8"/>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26804"/>
    <w:rsid w:val="000427F1"/>
    <w:rsid w:val="000445AE"/>
    <w:rsid w:val="000446FA"/>
    <w:rsid w:val="00050DEA"/>
    <w:rsid w:val="00054200"/>
    <w:rsid w:val="00062FD1"/>
    <w:rsid w:val="000973D6"/>
    <w:rsid w:val="000C0E9E"/>
    <w:rsid w:val="000D5EF6"/>
    <w:rsid w:val="000E2012"/>
    <w:rsid w:val="000E32F6"/>
    <w:rsid w:val="000E5737"/>
    <w:rsid w:val="000F0C29"/>
    <w:rsid w:val="0011569D"/>
    <w:rsid w:val="00130F5D"/>
    <w:rsid w:val="00151F80"/>
    <w:rsid w:val="001576BC"/>
    <w:rsid w:val="00171E47"/>
    <w:rsid w:val="00171F7F"/>
    <w:rsid w:val="001754B0"/>
    <w:rsid w:val="001A2BF1"/>
    <w:rsid w:val="001B2C3E"/>
    <w:rsid w:val="001D4131"/>
    <w:rsid w:val="001E4A11"/>
    <w:rsid w:val="001E5C86"/>
    <w:rsid w:val="001F22D6"/>
    <w:rsid w:val="001F2F28"/>
    <w:rsid w:val="002021F9"/>
    <w:rsid w:val="00214711"/>
    <w:rsid w:val="00215B6F"/>
    <w:rsid w:val="00217318"/>
    <w:rsid w:val="00241B65"/>
    <w:rsid w:val="002447CF"/>
    <w:rsid w:val="00267335"/>
    <w:rsid w:val="002749B8"/>
    <w:rsid w:val="00274F7C"/>
    <w:rsid w:val="002B7CDB"/>
    <w:rsid w:val="002C2AFC"/>
    <w:rsid w:val="002C432D"/>
    <w:rsid w:val="002D7E7D"/>
    <w:rsid w:val="002E095B"/>
    <w:rsid w:val="00300C57"/>
    <w:rsid w:val="0031070C"/>
    <w:rsid w:val="0031141C"/>
    <w:rsid w:val="00315F64"/>
    <w:rsid w:val="00335AB8"/>
    <w:rsid w:val="0034005F"/>
    <w:rsid w:val="003405A5"/>
    <w:rsid w:val="00347ECE"/>
    <w:rsid w:val="00367398"/>
    <w:rsid w:val="00376675"/>
    <w:rsid w:val="00384987"/>
    <w:rsid w:val="003C64AC"/>
    <w:rsid w:val="003E7642"/>
    <w:rsid w:val="00405FCB"/>
    <w:rsid w:val="00442D6C"/>
    <w:rsid w:val="00443AB5"/>
    <w:rsid w:val="00445088"/>
    <w:rsid w:val="004628EB"/>
    <w:rsid w:val="004710C7"/>
    <w:rsid w:val="004A11B8"/>
    <w:rsid w:val="004A3399"/>
    <w:rsid w:val="004B00F4"/>
    <w:rsid w:val="004B1982"/>
    <w:rsid w:val="004C0B63"/>
    <w:rsid w:val="004D1DD7"/>
    <w:rsid w:val="004E361C"/>
    <w:rsid w:val="004E625C"/>
    <w:rsid w:val="00507F24"/>
    <w:rsid w:val="005476B2"/>
    <w:rsid w:val="005757EF"/>
    <w:rsid w:val="00581DF1"/>
    <w:rsid w:val="00582C14"/>
    <w:rsid w:val="00586657"/>
    <w:rsid w:val="005945FF"/>
    <w:rsid w:val="00596EB7"/>
    <w:rsid w:val="005A54EE"/>
    <w:rsid w:val="005C452D"/>
    <w:rsid w:val="005C5391"/>
    <w:rsid w:val="005C6DFA"/>
    <w:rsid w:val="005C6E7A"/>
    <w:rsid w:val="005F1AAE"/>
    <w:rsid w:val="005F4287"/>
    <w:rsid w:val="00603034"/>
    <w:rsid w:val="00614DB8"/>
    <w:rsid w:val="006177F4"/>
    <w:rsid w:val="0063481C"/>
    <w:rsid w:val="00636BCF"/>
    <w:rsid w:val="0064053C"/>
    <w:rsid w:val="0065774B"/>
    <w:rsid w:val="00657A12"/>
    <w:rsid w:val="00657ADE"/>
    <w:rsid w:val="00663B29"/>
    <w:rsid w:val="0067709F"/>
    <w:rsid w:val="00685B80"/>
    <w:rsid w:val="00686DC5"/>
    <w:rsid w:val="00687D80"/>
    <w:rsid w:val="00693014"/>
    <w:rsid w:val="006B0927"/>
    <w:rsid w:val="006B49A6"/>
    <w:rsid w:val="006B5580"/>
    <w:rsid w:val="006D2F9B"/>
    <w:rsid w:val="006E6D13"/>
    <w:rsid w:val="006F33F5"/>
    <w:rsid w:val="007022E5"/>
    <w:rsid w:val="00717106"/>
    <w:rsid w:val="00724B83"/>
    <w:rsid w:val="00726B5A"/>
    <w:rsid w:val="00751C4C"/>
    <w:rsid w:val="007603F9"/>
    <w:rsid w:val="007638A3"/>
    <w:rsid w:val="00764EE6"/>
    <w:rsid w:val="007758C7"/>
    <w:rsid w:val="00792FC7"/>
    <w:rsid w:val="00794553"/>
    <w:rsid w:val="00797B94"/>
    <w:rsid w:val="007A65D9"/>
    <w:rsid w:val="007B59E1"/>
    <w:rsid w:val="007D3661"/>
    <w:rsid w:val="007E1BBA"/>
    <w:rsid w:val="007F2D7D"/>
    <w:rsid w:val="0080163C"/>
    <w:rsid w:val="0081001C"/>
    <w:rsid w:val="00814310"/>
    <w:rsid w:val="00846D35"/>
    <w:rsid w:val="00854D38"/>
    <w:rsid w:val="0086297C"/>
    <w:rsid w:val="00874121"/>
    <w:rsid w:val="008A0C1E"/>
    <w:rsid w:val="008A3929"/>
    <w:rsid w:val="008B0407"/>
    <w:rsid w:val="008B29B7"/>
    <w:rsid w:val="008B45FF"/>
    <w:rsid w:val="008C558B"/>
    <w:rsid w:val="008D57B3"/>
    <w:rsid w:val="008F2A13"/>
    <w:rsid w:val="009014E2"/>
    <w:rsid w:val="00903308"/>
    <w:rsid w:val="00924832"/>
    <w:rsid w:val="00927C7F"/>
    <w:rsid w:val="009308B2"/>
    <w:rsid w:val="009353A5"/>
    <w:rsid w:val="00947DA8"/>
    <w:rsid w:val="00967F6A"/>
    <w:rsid w:val="009742EE"/>
    <w:rsid w:val="00994689"/>
    <w:rsid w:val="009951BE"/>
    <w:rsid w:val="00996B85"/>
    <w:rsid w:val="009B0636"/>
    <w:rsid w:val="009B540D"/>
    <w:rsid w:val="009E04A7"/>
    <w:rsid w:val="009E2A12"/>
    <w:rsid w:val="009E6BC2"/>
    <w:rsid w:val="00A0781E"/>
    <w:rsid w:val="00A17B4A"/>
    <w:rsid w:val="00A21C4E"/>
    <w:rsid w:val="00A41487"/>
    <w:rsid w:val="00A540FF"/>
    <w:rsid w:val="00A558C1"/>
    <w:rsid w:val="00A65A2F"/>
    <w:rsid w:val="00A67A4C"/>
    <w:rsid w:val="00A7384E"/>
    <w:rsid w:val="00A76001"/>
    <w:rsid w:val="00A85689"/>
    <w:rsid w:val="00A8757F"/>
    <w:rsid w:val="00A928A9"/>
    <w:rsid w:val="00AA7D9B"/>
    <w:rsid w:val="00AC3331"/>
    <w:rsid w:val="00AC79BC"/>
    <w:rsid w:val="00AE603A"/>
    <w:rsid w:val="00AF1AE8"/>
    <w:rsid w:val="00AF1FFF"/>
    <w:rsid w:val="00AF3427"/>
    <w:rsid w:val="00AF70D5"/>
    <w:rsid w:val="00B02E52"/>
    <w:rsid w:val="00B154FE"/>
    <w:rsid w:val="00B1595B"/>
    <w:rsid w:val="00B177D4"/>
    <w:rsid w:val="00B23DF8"/>
    <w:rsid w:val="00B30845"/>
    <w:rsid w:val="00B32CAC"/>
    <w:rsid w:val="00B4710D"/>
    <w:rsid w:val="00B50348"/>
    <w:rsid w:val="00B555DD"/>
    <w:rsid w:val="00B714F3"/>
    <w:rsid w:val="00BA3D3F"/>
    <w:rsid w:val="00BB2092"/>
    <w:rsid w:val="00BB6505"/>
    <w:rsid w:val="00BC556D"/>
    <w:rsid w:val="00BD1AC1"/>
    <w:rsid w:val="00BD3336"/>
    <w:rsid w:val="00BE54FA"/>
    <w:rsid w:val="00C00BF1"/>
    <w:rsid w:val="00C141A5"/>
    <w:rsid w:val="00C4302A"/>
    <w:rsid w:val="00C44CE1"/>
    <w:rsid w:val="00C478AC"/>
    <w:rsid w:val="00C50AFA"/>
    <w:rsid w:val="00C6106E"/>
    <w:rsid w:val="00C62CAA"/>
    <w:rsid w:val="00C855A8"/>
    <w:rsid w:val="00CB1F14"/>
    <w:rsid w:val="00CB2B75"/>
    <w:rsid w:val="00CB3FD9"/>
    <w:rsid w:val="00CD1FF2"/>
    <w:rsid w:val="00CD2A4C"/>
    <w:rsid w:val="00CD3A2B"/>
    <w:rsid w:val="00CD51A8"/>
    <w:rsid w:val="00D00E73"/>
    <w:rsid w:val="00D14DA0"/>
    <w:rsid w:val="00D27711"/>
    <w:rsid w:val="00D338F0"/>
    <w:rsid w:val="00D42A9F"/>
    <w:rsid w:val="00D51BAE"/>
    <w:rsid w:val="00D530F9"/>
    <w:rsid w:val="00D62B84"/>
    <w:rsid w:val="00D636C4"/>
    <w:rsid w:val="00D66C29"/>
    <w:rsid w:val="00D80DD1"/>
    <w:rsid w:val="00D84DF0"/>
    <w:rsid w:val="00DB3DF1"/>
    <w:rsid w:val="00DC52A8"/>
    <w:rsid w:val="00E00708"/>
    <w:rsid w:val="00E20F09"/>
    <w:rsid w:val="00E25E1B"/>
    <w:rsid w:val="00E42C0C"/>
    <w:rsid w:val="00E44F2B"/>
    <w:rsid w:val="00E46E42"/>
    <w:rsid w:val="00E54E2E"/>
    <w:rsid w:val="00E62046"/>
    <w:rsid w:val="00E77426"/>
    <w:rsid w:val="00E802E5"/>
    <w:rsid w:val="00E82FDE"/>
    <w:rsid w:val="00E84D1A"/>
    <w:rsid w:val="00E86619"/>
    <w:rsid w:val="00EA0F7A"/>
    <w:rsid w:val="00EC4C69"/>
    <w:rsid w:val="00EC666E"/>
    <w:rsid w:val="00ED0B44"/>
    <w:rsid w:val="00ED0D66"/>
    <w:rsid w:val="00EE2B21"/>
    <w:rsid w:val="00EF0C48"/>
    <w:rsid w:val="00F01063"/>
    <w:rsid w:val="00F033B8"/>
    <w:rsid w:val="00F3113C"/>
    <w:rsid w:val="00F438E8"/>
    <w:rsid w:val="00F47E8C"/>
    <w:rsid w:val="00F60874"/>
    <w:rsid w:val="00F66FE5"/>
    <w:rsid w:val="00F67377"/>
    <w:rsid w:val="00F759E8"/>
    <w:rsid w:val="00F86603"/>
    <w:rsid w:val="00F918F2"/>
    <w:rsid w:val="00F9456E"/>
    <w:rsid w:val="00FB1C4C"/>
    <w:rsid w:val="00FB2385"/>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customStyle="1" w:styleId="Testimony">
    <w:name w:val="Testimony"/>
    <w:uiPriority w:val="99"/>
    <w:rsid w:val="00241B65"/>
    <w:pPr>
      <w:spacing w:after="360" w:line="480" w:lineRule="auto"/>
      <w:ind w:firstLine="720"/>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customStyle="1" w:styleId="Testimony">
    <w:name w:val="Testimony"/>
    <w:uiPriority w:val="99"/>
    <w:rsid w:val="00241B65"/>
    <w:pPr>
      <w:spacing w:after="360" w:line="480" w:lineRule="auto"/>
      <w:ind w:firstLine="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13637">
      <w:bodyDiv w:val="1"/>
      <w:marLeft w:val="0"/>
      <w:marRight w:val="0"/>
      <w:marTop w:val="0"/>
      <w:marBottom w:val="0"/>
      <w:divBdr>
        <w:top w:val="none" w:sz="0" w:space="0" w:color="auto"/>
        <w:left w:val="none" w:sz="0" w:space="0" w:color="auto"/>
        <w:bottom w:val="none" w:sz="0" w:space="0" w:color="auto"/>
        <w:right w:val="none" w:sz="0" w:space="0" w:color="auto"/>
      </w:divBdr>
    </w:div>
    <w:div w:id="82667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uc.ca.gov/General.aspx?id=5399" TargetMode="External"/><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14</Pages>
  <Words>2456</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15651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Mock, Joseph</cp:lastModifiedBy>
  <cp:revision>29</cp:revision>
  <cp:lastPrinted>2005-06-11T17:39:00Z</cp:lastPrinted>
  <dcterms:created xsi:type="dcterms:W3CDTF">2015-12-29T23:15:00Z</dcterms:created>
  <dcterms:modified xsi:type="dcterms:W3CDTF">2016-01-22T16:13:00Z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